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C8" w:rsidRDefault="000479C8" w:rsidP="000479C8">
      <w:pPr>
        <w:pStyle w:val="Title"/>
      </w:pPr>
      <w:r>
        <w:t>Computational Methods for Large Scale DNA Data Analysis</w:t>
      </w:r>
    </w:p>
    <w:p w:rsidR="000479C8" w:rsidRDefault="000479C8" w:rsidP="000479C8">
      <w:pPr>
        <w:jc w:val="center"/>
        <w:rPr>
          <w:sz w:val="24"/>
        </w:rPr>
      </w:pPr>
    </w:p>
    <w:p w:rsidR="000479C8" w:rsidRDefault="000479C8" w:rsidP="000479C8">
      <w:pPr>
        <w:pStyle w:val="Author"/>
      </w:pPr>
      <w:r>
        <w:t>Xiaohong Qiu</w:t>
      </w:r>
      <w:r w:rsidRPr="00EC41F5">
        <w:rPr>
          <w:vertAlign w:val="superscript"/>
        </w:rPr>
        <w:t>1</w:t>
      </w:r>
      <w:r>
        <w:t xml:space="preserve">, </w:t>
      </w:r>
      <w:proofErr w:type="spellStart"/>
      <w:r w:rsidRPr="000A26AB">
        <w:rPr>
          <w:color w:val="000000" w:themeColor="text1"/>
        </w:rPr>
        <w:t>Jaliya</w:t>
      </w:r>
      <w:proofErr w:type="spellEnd"/>
      <w:r w:rsidRPr="000A26AB">
        <w:rPr>
          <w:color w:val="000000" w:themeColor="text1"/>
        </w:rPr>
        <w:t xml:space="preserve"> Ekanayake</w:t>
      </w:r>
      <w:r w:rsidRPr="000A26AB">
        <w:rPr>
          <w:color w:val="000000" w:themeColor="text1"/>
          <w:vertAlign w:val="superscript"/>
        </w:rPr>
        <w:t>1</w:t>
      </w:r>
      <w:proofErr w:type="gramStart"/>
      <w:r w:rsidRPr="000A26AB">
        <w:rPr>
          <w:color w:val="000000" w:themeColor="text1"/>
          <w:vertAlign w:val="superscript"/>
        </w:rPr>
        <w:t>,</w:t>
      </w:r>
      <w:r>
        <w:rPr>
          <w:color w:val="000000" w:themeColor="text1"/>
          <w:vertAlign w:val="superscript"/>
        </w:rPr>
        <w:t>2</w:t>
      </w:r>
      <w:proofErr w:type="gramEnd"/>
      <w:r w:rsidRPr="000A26AB">
        <w:rPr>
          <w:color w:val="000000" w:themeColor="text1"/>
        </w:rPr>
        <w:t xml:space="preserve">, </w:t>
      </w:r>
      <w:r>
        <w:t>Geoffrey Fox</w:t>
      </w:r>
      <w:r w:rsidRPr="00EC41F5">
        <w:rPr>
          <w:vertAlign w:val="superscript"/>
        </w:rPr>
        <w:t>1</w:t>
      </w:r>
      <w:r>
        <w:rPr>
          <w:vertAlign w:val="superscript"/>
        </w:rPr>
        <w:t>,2</w:t>
      </w:r>
      <w:r>
        <w:t xml:space="preserve">, </w:t>
      </w:r>
      <w:r w:rsidRPr="000A26AB">
        <w:rPr>
          <w:color w:val="000000" w:themeColor="text1"/>
        </w:rPr>
        <w:t>Thilina Gunarathne</w:t>
      </w:r>
      <w:r>
        <w:rPr>
          <w:color w:val="000000" w:themeColor="text1"/>
          <w:vertAlign w:val="superscript"/>
        </w:rPr>
        <w:t>1,2</w:t>
      </w:r>
      <w:r w:rsidRPr="009E4930">
        <w:rPr>
          <w:color w:val="000000" w:themeColor="text1"/>
        </w:rPr>
        <w:t>,</w:t>
      </w:r>
      <w:r>
        <w:t xml:space="preserve"> Scott Beason</w:t>
      </w:r>
      <w:r w:rsidRPr="00EC41F5">
        <w:rPr>
          <w:vertAlign w:val="superscript"/>
        </w:rPr>
        <w:t>1</w:t>
      </w:r>
    </w:p>
    <w:p w:rsidR="000479C8" w:rsidRDefault="000479C8" w:rsidP="000479C8">
      <w:pPr>
        <w:pStyle w:val="Affiliation"/>
      </w:pPr>
      <w:r w:rsidRPr="00EC41F5">
        <w:rPr>
          <w:vertAlign w:val="superscript"/>
        </w:rPr>
        <w:t>1</w:t>
      </w:r>
      <w:r>
        <w:t xml:space="preserve">Pervasive Technology Institute, </w:t>
      </w:r>
      <w:r>
        <w:rPr>
          <w:vertAlign w:val="superscript"/>
        </w:rPr>
        <w:t>2</w:t>
      </w:r>
      <w:r>
        <w:t>School of Informatics and Computing,</w:t>
      </w:r>
    </w:p>
    <w:p w:rsidR="00046FDD" w:rsidRDefault="00046FDD" w:rsidP="000479C8">
      <w:pPr>
        <w:pStyle w:val="Affiliation"/>
      </w:pPr>
      <w:r>
        <w:t>Indiana University</w:t>
      </w:r>
    </w:p>
    <w:p w:rsidR="000479C8" w:rsidRDefault="000479C8" w:rsidP="000479C8">
      <w:pPr>
        <w:pStyle w:val="Affiliation"/>
      </w:pPr>
      <w:r>
        <w:t>{</w:t>
      </w:r>
      <w:proofErr w:type="spellStart"/>
      <w:proofErr w:type="gramStart"/>
      <w:r>
        <w:t>xqiu</w:t>
      </w:r>
      <w:proofErr w:type="spellEnd"/>
      <w:proofErr w:type="gramEnd"/>
      <w:r>
        <w:t>,</w:t>
      </w:r>
      <w:r w:rsidRPr="00C83637">
        <w:rPr>
          <w:color w:val="000000" w:themeColor="text1"/>
        </w:rPr>
        <w:t xml:space="preserve"> </w:t>
      </w:r>
      <w:proofErr w:type="spellStart"/>
      <w:r w:rsidRPr="000A26AB">
        <w:rPr>
          <w:color w:val="000000" w:themeColor="text1"/>
        </w:rPr>
        <w:t>jekanaya</w:t>
      </w:r>
      <w:proofErr w:type="spellEnd"/>
      <w:r>
        <w:rPr>
          <w:color w:val="000000" w:themeColor="text1"/>
        </w:rPr>
        <w:t>,</w:t>
      </w:r>
      <w:r>
        <w:t xml:space="preserve"> </w:t>
      </w:r>
      <w:proofErr w:type="spellStart"/>
      <w:r>
        <w:t>gcf</w:t>
      </w:r>
      <w:proofErr w:type="spellEnd"/>
      <w:r>
        <w:t>,</w:t>
      </w:r>
      <w:r w:rsidRPr="004152D0">
        <w:rPr>
          <w:color w:val="000000" w:themeColor="text1"/>
        </w:rPr>
        <w:t xml:space="preserve"> </w:t>
      </w:r>
      <w:proofErr w:type="spellStart"/>
      <w:r w:rsidRPr="000A26AB">
        <w:rPr>
          <w:color w:val="000000" w:themeColor="text1"/>
        </w:rPr>
        <w:t>tgunarat</w:t>
      </w:r>
      <w:proofErr w:type="spellEnd"/>
      <w:r>
        <w:rPr>
          <w:color w:val="000000" w:themeColor="text1"/>
        </w:rPr>
        <w:t>,</w:t>
      </w:r>
      <w:r>
        <w:t xml:space="preserve"> </w:t>
      </w:r>
      <w:proofErr w:type="spellStart"/>
      <w:r>
        <w:t>smbeason</w:t>
      </w:r>
      <w:proofErr w:type="spellEnd"/>
      <w:r>
        <w:t xml:space="preserve">}@indiana.edu </w:t>
      </w:r>
    </w:p>
    <w:p w:rsidR="000479C8" w:rsidRDefault="000479C8" w:rsidP="000479C8">
      <w:pPr>
        <w:jc w:val="center"/>
        <w:rPr>
          <w:sz w:val="24"/>
        </w:rPr>
      </w:pPr>
    </w:p>
    <w:p w:rsidR="000479C8" w:rsidRDefault="000479C8" w:rsidP="000479C8">
      <w:pPr>
        <w:rPr>
          <w:sz w:val="24"/>
        </w:rPr>
        <w:sectPr w:rsidR="000479C8">
          <w:pgSz w:w="12240" w:h="15840"/>
          <w:pgMar w:top="1440" w:right="1440" w:bottom="1728" w:left="1440" w:header="720" w:footer="720" w:gutter="0"/>
          <w:cols w:space="720"/>
        </w:sectPr>
      </w:pPr>
    </w:p>
    <w:p w:rsidR="000479C8" w:rsidRDefault="000479C8" w:rsidP="000479C8">
      <w:pPr>
        <w:pStyle w:val="AbstractTitle"/>
      </w:pPr>
      <w:r>
        <w:lastRenderedPageBreak/>
        <w:t>Abstract</w:t>
      </w:r>
    </w:p>
    <w:p w:rsidR="000479C8" w:rsidRDefault="000479C8" w:rsidP="000479C8">
      <w:pPr>
        <w:rPr>
          <w:i/>
        </w:rPr>
      </w:pPr>
    </w:p>
    <w:p w:rsidR="000479C8" w:rsidRDefault="000479C8" w:rsidP="000479C8">
      <w:pPr>
        <w:pStyle w:val="AbstractText"/>
        <w:spacing w:line="480" w:lineRule="auto"/>
      </w:pPr>
      <w:r>
        <w:t>We take two large scale data intensive problems from biology. One is a study of</w:t>
      </w:r>
      <w:r w:rsidRPr="0057579F">
        <w:t xml:space="preserve"> EST (Expressed Sequence Tag) Assembly</w:t>
      </w:r>
      <w:r>
        <w:t xml:space="preserve"> with half a </w:t>
      </w:r>
      <w:r w:rsidRPr="0057579F">
        <w:t>million mRNA sequences</w:t>
      </w:r>
      <w:r>
        <w:t xml:space="preserve">. The other one is the analysis of gene sequence data (35339 Alu sequences). These test cases can scale to state of the art problems such </w:t>
      </w:r>
      <w:r w:rsidR="00046FDD">
        <w:t xml:space="preserve">as </w:t>
      </w:r>
      <w:r>
        <w:t>clustering of a million sequences. We look at initial processing (calculation of Smith Waterman dissimilarities and CAP3 assembly), clustering and Multi Dimensional Scaling. We present performance results on multicore clusters and note that currently different technologies are optimized for different steps.</w:t>
      </w:r>
    </w:p>
    <w:p w:rsidR="000479C8" w:rsidRDefault="000479C8" w:rsidP="000479C8">
      <w:pPr>
        <w:pStyle w:val="Heading1"/>
        <w:spacing w:line="480" w:lineRule="auto"/>
      </w:pPr>
      <w:r>
        <w:t>1. Introduction</w:t>
      </w:r>
    </w:p>
    <w:p w:rsidR="000479C8" w:rsidRPr="00121795" w:rsidRDefault="000479C8" w:rsidP="000479C8">
      <w:pPr>
        <w:keepNext/>
        <w:widowControl w:val="0"/>
        <w:spacing w:line="480" w:lineRule="auto"/>
        <w:rPr>
          <w:bCs/>
        </w:rPr>
      </w:pPr>
      <w:r>
        <w:rPr>
          <w:bCs/>
        </w:rPr>
        <w:t xml:space="preserve">     We abstract many approaches as a mixture of pipelined and parallel (good MPI performance) systems, linked by a pervasive storage system. We believe that much data analysis can be performed in a computing style where data is read from one file system, analyzed by one or more tools and written back to a database or file system. An important feature of the MapReduce style approaches is explicit support </w:t>
      </w:r>
      <w:r>
        <w:rPr>
          <w:bCs/>
        </w:rPr>
        <w:lastRenderedPageBreak/>
        <w:t xml:space="preserve">for data parallelism which is needed in our applications. </w:t>
      </w:r>
      <w:r>
        <w:t>.</w:t>
      </w:r>
    </w:p>
    <w:p w:rsidR="000479C8" w:rsidRPr="006D4D06" w:rsidRDefault="000479C8" w:rsidP="000479C8">
      <w:pPr>
        <w:spacing w:line="480" w:lineRule="auto"/>
        <w:rPr>
          <w:b/>
        </w:rPr>
      </w:pPr>
      <w:r w:rsidRPr="006D4D06">
        <w:rPr>
          <w:b/>
        </w:rPr>
        <w:t xml:space="preserve">2 </w:t>
      </w:r>
      <w:r>
        <w:rPr>
          <w:b/>
        </w:rPr>
        <w:t xml:space="preserve">  </w:t>
      </w:r>
      <w:r w:rsidRPr="006D4D06">
        <w:rPr>
          <w:b/>
        </w:rPr>
        <w:t>CAP3 Analysis</w:t>
      </w:r>
    </w:p>
    <w:p w:rsidR="0055064B" w:rsidRDefault="000479C8" w:rsidP="000479C8">
      <w:pPr>
        <w:pStyle w:val="NoSpacing"/>
        <w:tabs>
          <w:tab w:val="left" w:pos="270"/>
        </w:tabs>
        <w:spacing w:line="480" w:lineRule="auto"/>
      </w:pPr>
      <w:r>
        <w:tab/>
        <w:t>We have applied three cloud</w:t>
      </w:r>
      <w:r w:rsidR="0055064B">
        <w:t xml:space="preserve"> technologies, namely Hadoop</w:t>
      </w:r>
      <w:r>
        <w:t>, DryadLINQ [</w:t>
      </w:r>
      <w:r w:rsidR="0055064B">
        <w:t>1</w:t>
      </w:r>
      <w:r>
        <w:t>], and CGL-MapReduce [</w:t>
      </w:r>
      <w:r w:rsidR="0055064B">
        <w:t>2</w:t>
      </w:r>
      <w:r>
        <w:t>] to implement a sequence assembly program CAP3</w:t>
      </w:r>
      <w:r w:rsidR="00D21F22">
        <w:t xml:space="preserve"> [</w:t>
      </w:r>
      <w:r w:rsidR="0055064B">
        <w:t>3</w:t>
      </w:r>
      <w:r w:rsidR="00D21F22">
        <w:t>]</w:t>
      </w:r>
      <w:r>
        <w:t xml:space="preserve"> which is dominant part of analysis of mRNA sequences into DNA and performs several major assembly steps such as computation of overlaps, construction of </w:t>
      </w:r>
      <w:proofErr w:type="spellStart"/>
      <w:r>
        <w:t>contigs</w:t>
      </w:r>
      <w:proofErr w:type="spellEnd"/>
      <w:r>
        <w:t>, construction of multiple sequence alignments and generation of consensus sequences, to a given set of gene sequences. The program reads a collection of gen</w:t>
      </w:r>
      <w:r w:rsidR="0055064B">
        <w:t xml:space="preserve">e sequences from an input file writing out the results. </w:t>
      </w:r>
      <w:r>
        <w:t>The “pleasingly parallel” nature of the application makes it extremely easy to implement using the technologies such as Hadoop, CGL-MapReduce and Dryad. In the two MapReduce implementations, we used a “map-only” operation to perform the entire data analysis,</w:t>
      </w:r>
      <w:r w:rsidR="0055064B">
        <w:t xml:space="preserve"> </w:t>
      </w:r>
      <w:r>
        <w:t>where as in DryadLINQ we use a single “Select” query on the set of input data files.</w:t>
      </w:r>
      <w:r w:rsidR="0055064B">
        <w:t xml:space="preserve"> </w:t>
      </w:r>
    </w:p>
    <w:p w:rsidR="000479C8" w:rsidRPr="001C2432" w:rsidRDefault="0055064B" w:rsidP="000479C8">
      <w:pPr>
        <w:pStyle w:val="NoSpacing"/>
        <w:tabs>
          <w:tab w:val="left" w:pos="270"/>
        </w:tabs>
        <w:spacing w:line="480" w:lineRule="auto"/>
      </w:pPr>
      <w:r w:rsidRPr="001C2432">
        <w:rPr>
          <w:rFonts w:eastAsia="Batang"/>
        </w:rPr>
        <w:t>Figs 1 and 2 show comparisons of performance and the</w:t>
      </w:r>
    </w:p>
    <w:p w:rsidR="000479C8" w:rsidRDefault="000479C8" w:rsidP="00567FB9">
      <w:pPr>
        <w:pStyle w:val="NoSpacing"/>
        <w:tabs>
          <w:tab w:val="left" w:pos="270"/>
        </w:tabs>
        <w:spacing w:line="480" w:lineRule="auto"/>
        <w:jc w:val="center"/>
        <w:rPr>
          <w:sz w:val="16"/>
          <w:szCs w:val="16"/>
        </w:rPr>
      </w:pPr>
      <w:r>
        <w:rPr>
          <w:noProof/>
        </w:rPr>
        <w:lastRenderedPageBreak/>
        <w:drawing>
          <wp:inline distT="0" distB="0" distL="0" distR="0">
            <wp:extent cx="2325060" cy="1627909"/>
            <wp:effectExtent l="0" t="0" r="0" b="0"/>
            <wp:docPr id="2" name="Picture 3" descr="E:\academic\phd\Publications\eScience2009\gnuplot\cap3_perf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ademic\phd\Publications\eScience2009\gnuplot\cap3_perf_bw.eps"/>
                    <pic:cNvPicPr>
                      <a:picLocks noChangeAspect="1" noChangeArrowheads="1"/>
                    </pic:cNvPicPr>
                  </pic:nvPicPr>
                  <pic:blipFill>
                    <a:blip r:embed="rId5" cstate="print"/>
                    <a:srcRect/>
                    <a:stretch>
                      <a:fillRect/>
                    </a:stretch>
                  </pic:blipFill>
                  <pic:spPr bwMode="auto">
                    <a:xfrm>
                      <a:off x="0" y="0"/>
                      <a:ext cx="2327221" cy="1629422"/>
                    </a:xfrm>
                    <a:prstGeom prst="rect">
                      <a:avLst/>
                    </a:prstGeom>
                    <a:noFill/>
                    <a:ln w="9525">
                      <a:noFill/>
                      <a:miter lim="800000"/>
                      <a:headEnd/>
                      <a:tailEnd/>
                    </a:ln>
                  </pic:spPr>
                </pic:pic>
              </a:graphicData>
            </a:graphic>
          </wp:inline>
        </w:drawing>
      </w:r>
      <w:r w:rsidR="000746B6">
        <w:rPr>
          <w:sz w:val="16"/>
          <w:szCs w:val="16"/>
        </w:rPr>
        <w:br/>
      </w:r>
      <w:r w:rsidRPr="003A0EDD">
        <w:rPr>
          <w:sz w:val="16"/>
          <w:szCs w:val="16"/>
        </w:rPr>
        <w:t>Fig. 1: Performance of different implementations of CAP3</w:t>
      </w:r>
    </w:p>
    <w:p w:rsidR="000479C8" w:rsidRPr="00567FB9" w:rsidRDefault="000479C8" w:rsidP="00567FB9">
      <w:pPr>
        <w:pStyle w:val="Graphs"/>
        <w:numPr>
          <w:ilvl w:val="0"/>
          <w:numId w:val="0"/>
        </w:numPr>
        <w:spacing w:line="480" w:lineRule="auto"/>
        <w:jc w:val="center"/>
        <w:rPr>
          <w:b w:val="0"/>
          <w:sz w:val="16"/>
          <w:szCs w:val="16"/>
        </w:rPr>
      </w:pPr>
      <w:r>
        <w:rPr>
          <w:noProof/>
        </w:rPr>
        <w:drawing>
          <wp:inline distT="0" distB="0" distL="0" distR="0">
            <wp:extent cx="2320636" cy="1624812"/>
            <wp:effectExtent l="0" t="0" r="0" b="0"/>
            <wp:docPr id="4" name="Picture 1" descr="E:\academic\phd\Publications\eScience2009\gnuplot\cap3_scale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ademic\phd\Publications\eScience2009\gnuplot\cap3_scale_bw.eps"/>
                    <pic:cNvPicPr>
                      <a:picLocks noChangeAspect="1" noChangeArrowheads="1"/>
                    </pic:cNvPicPr>
                  </pic:nvPicPr>
                  <pic:blipFill>
                    <a:blip r:embed="rId6"/>
                    <a:srcRect/>
                    <a:stretch>
                      <a:fillRect/>
                    </a:stretch>
                  </pic:blipFill>
                  <pic:spPr bwMode="auto">
                    <a:xfrm>
                      <a:off x="0" y="0"/>
                      <a:ext cx="2320113" cy="1624446"/>
                    </a:xfrm>
                    <a:prstGeom prst="rect">
                      <a:avLst/>
                    </a:prstGeom>
                    <a:noFill/>
                    <a:ln w="9525">
                      <a:noFill/>
                      <a:miter lim="800000"/>
                      <a:headEnd/>
                      <a:tailEnd/>
                    </a:ln>
                  </pic:spPr>
                </pic:pic>
              </a:graphicData>
            </a:graphic>
          </wp:inline>
        </w:drawing>
      </w:r>
      <w:r w:rsidR="000746B6">
        <w:rPr>
          <w:rFonts w:ascii="Times New Roman" w:hAnsi="Times New Roman" w:cs="Times New Roman"/>
          <w:b w:val="0"/>
          <w:sz w:val="16"/>
          <w:szCs w:val="16"/>
        </w:rPr>
        <w:br/>
      </w:r>
      <w:r w:rsidRPr="00567FB9">
        <w:rPr>
          <w:rFonts w:ascii="Times New Roman" w:hAnsi="Times New Roman" w:cs="Times New Roman"/>
          <w:b w:val="0"/>
          <w:sz w:val="16"/>
          <w:szCs w:val="16"/>
        </w:rPr>
        <w:t>Fig. 2: Scalability of different implementations of CAP3</w:t>
      </w:r>
    </w:p>
    <w:p w:rsidR="000479C8" w:rsidRPr="001C2432" w:rsidRDefault="000479C8" w:rsidP="000479C8">
      <w:pPr>
        <w:pStyle w:val="Graphs"/>
        <w:numPr>
          <w:ilvl w:val="0"/>
          <w:numId w:val="0"/>
        </w:numPr>
        <w:spacing w:line="480" w:lineRule="auto"/>
        <w:jc w:val="both"/>
        <w:rPr>
          <w:rFonts w:ascii="Times New Roman" w:eastAsia="Batang" w:hAnsi="Times New Roman" w:cs="Times New Roman"/>
          <w:b w:val="0"/>
        </w:rPr>
      </w:pPr>
      <w:proofErr w:type="gramStart"/>
      <w:r w:rsidRPr="001C2432">
        <w:rPr>
          <w:rFonts w:ascii="Times New Roman" w:eastAsia="Batang" w:hAnsi="Times New Roman" w:cs="Times New Roman"/>
          <w:b w:val="0"/>
        </w:rPr>
        <w:t>scalability</w:t>
      </w:r>
      <w:proofErr w:type="gramEnd"/>
      <w:r w:rsidRPr="001C2432">
        <w:rPr>
          <w:rFonts w:ascii="Times New Roman" w:eastAsia="Batang" w:hAnsi="Times New Roman" w:cs="Times New Roman"/>
          <w:b w:val="0"/>
        </w:rPr>
        <w:t xml:space="preserve"> of the three cloud technologies under CAP3 program. The performance and the scalability graphs shows that all three runtimes work almost equally well for the CAP3 program, and we would expect them to behave in the same way for similar applications with simple parallel topologies. With the support for handling large data sets, the concept of moving computation to data, and the better quality of services provided by the cloud technologies such as Hadoop, DryadLINQ, and CGL-MapReduce make them favorable choice of technologies to solve such problems.</w:t>
      </w:r>
    </w:p>
    <w:p w:rsidR="000479C8" w:rsidRDefault="000479C8" w:rsidP="000479C8">
      <w:pPr>
        <w:pStyle w:val="Heading1"/>
        <w:spacing w:line="480" w:lineRule="auto"/>
      </w:pPr>
      <w:r>
        <w:lastRenderedPageBreak/>
        <w:t>3. Alu Sequencing Applications</w:t>
      </w:r>
    </w:p>
    <w:p w:rsidR="000479C8" w:rsidRDefault="000479C8" w:rsidP="000479C8">
      <w:pPr>
        <w:pStyle w:val="BodyTextIndent"/>
        <w:spacing w:line="480" w:lineRule="auto"/>
      </w:pPr>
      <w:r>
        <w:t>Alu</w:t>
      </w:r>
      <w:r w:rsidRPr="002D06FF">
        <w:t>s represent the largest r</w:t>
      </w:r>
      <w:r>
        <w:t xml:space="preserve">epeat families in human genome with </w:t>
      </w:r>
      <w:r w:rsidRPr="002D06FF">
        <w:t xml:space="preserve">about 1 million copies of </w:t>
      </w:r>
      <w:r>
        <w:t>Alu</w:t>
      </w:r>
      <w:r w:rsidR="00F5295D">
        <w:t xml:space="preserve"> sequences in human genome. </w:t>
      </w:r>
      <w:r>
        <w:t>Alu</w:t>
      </w:r>
      <w:r w:rsidRPr="002D06FF">
        <w:t xml:space="preserve"> clustering can be</w:t>
      </w:r>
      <w:r>
        <w:t xml:space="preserve"> viewed as</w:t>
      </w:r>
      <w:r w:rsidRPr="002D06FF">
        <w:t xml:space="preserve"> a </w:t>
      </w:r>
      <w:r w:rsidR="00ED5CD0">
        <w:t>test</w:t>
      </w:r>
      <w:r w:rsidRPr="002D06FF">
        <w:t xml:space="preserve"> for the capacity of computational infrastructures because it is of great biological interests, </w:t>
      </w:r>
      <w:r w:rsidR="00ED5CD0">
        <w:t xml:space="preserve">and </w:t>
      </w:r>
      <w:r w:rsidRPr="002D06FF">
        <w:t>of a</w:t>
      </w:r>
      <w:r w:rsidR="00F5295D">
        <w:t xml:space="preserve"> scale for other </w:t>
      </w:r>
      <w:r w:rsidR="00ED5CD0">
        <w:t xml:space="preserve">large </w:t>
      </w:r>
      <w:r w:rsidR="00F5295D">
        <w:t xml:space="preserve">applications such as </w:t>
      </w:r>
      <w:r w:rsidRPr="002D06FF">
        <w:t>the automated protein family classification for a few millions of proteins predicted from large metagenomics projects.</w:t>
      </w:r>
      <w:r>
        <w:t xml:space="preserve"> </w:t>
      </w:r>
    </w:p>
    <w:p w:rsidR="000479C8" w:rsidRPr="00CF4172" w:rsidRDefault="000479C8" w:rsidP="002255D4">
      <w:pPr>
        <w:pStyle w:val="BodyTextIndent"/>
        <w:spacing w:line="480" w:lineRule="auto"/>
        <w:ind w:firstLine="0"/>
        <w:rPr>
          <w:b/>
        </w:rPr>
      </w:pPr>
      <w:r>
        <w:rPr>
          <w:b/>
        </w:rPr>
        <w:t>3.1. Smith Waterman Dissimilarities</w:t>
      </w:r>
    </w:p>
    <w:p w:rsidR="00ED5CD0" w:rsidRDefault="00ED5CD0" w:rsidP="00ED5CD0">
      <w:r w:rsidRPr="00004531">
        <w:rPr>
          <w:noProof/>
        </w:rPr>
        <w:drawing>
          <wp:inline distT="0" distB="0" distL="0" distR="0">
            <wp:extent cx="2584334" cy="1603557"/>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84865" cy="1603886"/>
                    </a:xfrm>
                    <a:prstGeom prst="rect">
                      <a:avLst/>
                    </a:prstGeom>
                    <a:noFill/>
                    <a:ln w="9525">
                      <a:noFill/>
                      <a:miter lim="800000"/>
                      <a:headEnd/>
                      <a:tailEnd/>
                    </a:ln>
                  </pic:spPr>
                </pic:pic>
              </a:graphicData>
            </a:graphic>
          </wp:inline>
        </w:drawing>
      </w:r>
      <w:r w:rsidRPr="00424D26">
        <w:t xml:space="preserve"> </w:t>
      </w:r>
      <w:r w:rsidR="000746B6">
        <w:br/>
      </w:r>
      <w:proofErr w:type="gramStart"/>
      <w:r w:rsidRPr="00004531">
        <w:rPr>
          <w:sz w:val="16"/>
          <w:szCs w:val="16"/>
        </w:rPr>
        <w:t>Fig 3.</w:t>
      </w:r>
      <w:proofErr w:type="gramEnd"/>
      <w:r w:rsidRPr="00004531">
        <w:rPr>
          <w:sz w:val="16"/>
          <w:szCs w:val="16"/>
        </w:rPr>
        <w:t xml:space="preserve">  Performance of Alu Gene Alignments versus parallel pattern</w:t>
      </w:r>
      <w:r>
        <w:t xml:space="preserve"> </w:t>
      </w:r>
    </w:p>
    <w:p w:rsidR="00ED5CD0" w:rsidRDefault="00ED5CD0" w:rsidP="00ED5CD0"/>
    <w:p w:rsidR="000479C8" w:rsidRPr="00336149" w:rsidRDefault="000746B6" w:rsidP="000746B6">
      <w:pPr>
        <w:spacing w:line="480" w:lineRule="auto"/>
      </w:pPr>
      <w:r w:rsidRPr="000746B6">
        <w:drawing>
          <wp:inline distT="0" distB="0" distL="0" distR="0">
            <wp:extent cx="2474768" cy="1148284"/>
            <wp:effectExtent l="19050" t="0" r="1732" b="0"/>
            <wp:docPr id="3" name="Pictur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472192" cy="1147089"/>
                    </a:xfrm>
                    <a:prstGeom prst="rect">
                      <a:avLst/>
                    </a:prstGeom>
                    <a:noFill/>
                    <a:ln w="9525">
                      <a:noFill/>
                      <a:miter lim="800000"/>
                      <a:headEnd/>
                      <a:tailEnd/>
                    </a:ln>
                  </pic:spPr>
                </pic:pic>
              </a:graphicData>
            </a:graphic>
          </wp:inline>
        </w:drawing>
      </w:r>
      <w:r>
        <w:br/>
      </w:r>
      <w:r w:rsidRPr="000746B6">
        <w:rPr>
          <w:sz w:val="16"/>
          <w:szCs w:val="16"/>
        </w:rPr>
        <w:t>Fig. 4 Comparison of MPI with</w:t>
      </w:r>
      <w:r>
        <w:t xml:space="preserve"> Dryad on Alu Alignment</w:t>
      </w:r>
      <w:r>
        <w:br/>
      </w:r>
      <w:r w:rsidR="000479C8">
        <w:t xml:space="preserve">In initial pairwise alignment of Alu sequences, we used open source version of the Smith Waterman – </w:t>
      </w:r>
      <w:proofErr w:type="spellStart"/>
      <w:r w:rsidR="000479C8">
        <w:t>Gotoh</w:t>
      </w:r>
      <w:proofErr w:type="spellEnd"/>
      <w:r w:rsidR="000479C8">
        <w:t xml:space="preserve"> algorithm SW-G modified to ensure low start up effects</w:t>
      </w:r>
      <w:r w:rsidR="00F5295D">
        <w:t>.</w:t>
      </w:r>
      <w:r w:rsidR="00ED5CD0">
        <w:t xml:space="preserve"> </w:t>
      </w:r>
      <w:r>
        <w:t>We compare t</w:t>
      </w:r>
      <w:r w:rsidR="000479C8">
        <w:t xml:space="preserve">hreading and MPI on a 32 node (768 </w:t>
      </w:r>
      <w:proofErr w:type="gramStart"/>
      <w:r w:rsidR="000479C8">
        <w:t>core</w:t>
      </w:r>
      <w:proofErr w:type="gramEnd"/>
      <w:r w:rsidR="000479C8">
        <w:t>) Windows HPCS cluster</w:t>
      </w:r>
      <w:r>
        <w:t xml:space="preserve"> on</w:t>
      </w:r>
      <w:r w:rsidR="000479C8">
        <w:t xml:space="preserve"> Fig. 3 </w:t>
      </w:r>
      <w:r>
        <w:t xml:space="preserve">which </w:t>
      </w:r>
      <w:r w:rsidR="000479C8">
        <w:t xml:space="preserve">shows </w:t>
      </w:r>
      <w:r w:rsidR="000479C8" w:rsidRPr="00336095">
        <w:t>MPI easily outperform</w:t>
      </w:r>
      <w:r w:rsidR="000479C8">
        <w:t>ing</w:t>
      </w:r>
      <w:r w:rsidR="000479C8" w:rsidRPr="00336095">
        <w:t xml:space="preserve"> the equivalent </w:t>
      </w:r>
      <w:r w:rsidR="000479C8" w:rsidRPr="00336095">
        <w:lastRenderedPageBreak/>
        <w:t>threaded version</w:t>
      </w:r>
      <w:r w:rsidR="000479C8">
        <w:t>.</w:t>
      </w:r>
      <w:r w:rsidR="000479C8" w:rsidRPr="00424D26">
        <w:t xml:space="preserve">  </w:t>
      </w:r>
      <w:r w:rsidR="000479C8">
        <w:t>W</w:t>
      </w:r>
      <w:r w:rsidR="000479C8" w:rsidRPr="00336095">
        <w:t xml:space="preserve">e </w:t>
      </w:r>
      <w:r w:rsidR="000479C8">
        <w:t xml:space="preserve">note </w:t>
      </w:r>
      <w:r w:rsidR="000479C8" w:rsidRPr="00336095">
        <w:t xml:space="preserve">that threaded version has </w:t>
      </w:r>
      <w:r w:rsidR="000479C8">
        <w:t>about a factor of 100 more</w:t>
      </w:r>
      <w:r w:rsidR="000479C8" w:rsidRPr="00336095">
        <w:t xml:space="preserve"> context switches than in MPI.</w:t>
      </w:r>
      <w:r>
        <w:t xml:space="preserve"> Fig. 4 shows Dryad getting good performance in this case lying between two MPI implementations.</w:t>
      </w:r>
    </w:p>
    <w:p w:rsidR="000479C8" w:rsidRDefault="000479C8" w:rsidP="000746B6">
      <w:pPr>
        <w:pStyle w:val="CaptionLong"/>
        <w:spacing w:line="480" w:lineRule="auto"/>
        <w:rPr>
          <w:sz w:val="20"/>
        </w:rPr>
      </w:pPr>
      <w:r w:rsidRPr="00697456">
        <w:rPr>
          <w:sz w:val="20"/>
        </w:rPr>
        <w:t xml:space="preserve">We </w:t>
      </w:r>
      <w:r w:rsidR="003B6BF1">
        <w:rPr>
          <w:sz w:val="20"/>
        </w:rPr>
        <w:t>must</w:t>
      </w:r>
      <w:r w:rsidRPr="00697456">
        <w:rPr>
          <w:sz w:val="20"/>
        </w:rPr>
        <w:t xml:space="preserve"> calculate in parallel Distance</w:t>
      </w:r>
      <w:r>
        <w:rPr>
          <w:sz w:val="20"/>
        </w:rPr>
        <w:t xml:space="preserve"> </w:t>
      </w:r>
      <w:proofErr w:type="gramStart"/>
      <w:r>
        <w:rPr>
          <w:sz w:val="20"/>
        </w:rPr>
        <w:t>D</w:t>
      </w:r>
      <w:r w:rsidRPr="00697456">
        <w:rPr>
          <w:sz w:val="20"/>
        </w:rPr>
        <w:t>(</w:t>
      </w:r>
      <w:proofErr w:type="spellStart"/>
      <w:proofErr w:type="gramEnd"/>
      <w:r w:rsidRPr="00697456">
        <w:rPr>
          <w:sz w:val="20"/>
        </w:rPr>
        <w:t>i,j</w:t>
      </w:r>
      <w:proofErr w:type="spellEnd"/>
      <w:r w:rsidRPr="00697456">
        <w:rPr>
          <w:sz w:val="20"/>
        </w:rPr>
        <w:t xml:space="preserve">) </w:t>
      </w:r>
      <w:r w:rsidR="003B6BF1">
        <w:rPr>
          <w:sz w:val="20"/>
        </w:rPr>
        <w:t xml:space="preserve">in a way that </w:t>
      </w:r>
      <w:r>
        <w:rPr>
          <w:sz w:val="20"/>
        </w:rPr>
        <w:t>avoid</w:t>
      </w:r>
      <w:r w:rsidR="003B6BF1">
        <w:rPr>
          <w:sz w:val="20"/>
        </w:rPr>
        <w:t>s</w:t>
      </w:r>
      <w:r>
        <w:rPr>
          <w:sz w:val="20"/>
        </w:rPr>
        <w:t xml:space="preserve"> calculating both D(</w:t>
      </w:r>
      <w:proofErr w:type="spellStart"/>
      <w:r>
        <w:rPr>
          <w:sz w:val="18"/>
        </w:rPr>
        <w:t>i</w:t>
      </w:r>
      <w:r>
        <w:rPr>
          <w:sz w:val="20"/>
        </w:rPr>
        <w:t>,j</w:t>
      </w:r>
      <w:proofErr w:type="spellEnd"/>
      <w:r>
        <w:rPr>
          <w:sz w:val="20"/>
        </w:rPr>
        <w:t>) and the identical D(</w:t>
      </w:r>
      <w:proofErr w:type="spellStart"/>
      <w:r>
        <w:rPr>
          <w:sz w:val="20"/>
        </w:rPr>
        <w:t>j,i</w:t>
      </w:r>
      <w:proofErr w:type="spellEnd"/>
      <w:r>
        <w:rPr>
          <w:sz w:val="20"/>
        </w:rPr>
        <w:t xml:space="preserve">). </w:t>
      </w:r>
      <w:r w:rsidR="003B6BF1">
        <w:rPr>
          <w:sz w:val="20"/>
        </w:rPr>
        <w:t>The implicit</w:t>
      </w:r>
      <w:r>
        <w:rPr>
          <w:sz w:val="20"/>
        </w:rPr>
        <w:t xml:space="preserve"> </w:t>
      </w:r>
      <w:r w:rsidR="004C2B26">
        <w:rPr>
          <w:sz w:val="20"/>
        </w:rPr>
        <w:t xml:space="preserve">file transfer </w:t>
      </w:r>
      <w:r>
        <w:rPr>
          <w:sz w:val="20"/>
        </w:rPr>
        <w:t>step</w:t>
      </w:r>
      <w:r w:rsidR="00903C36">
        <w:rPr>
          <w:sz w:val="20"/>
        </w:rPr>
        <w:t xml:space="preserve"> needs optimization and</w:t>
      </w:r>
      <w:r>
        <w:rPr>
          <w:sz w:val="20"/>
        </w:rPr>
        <w:t xml:space="preserve"> is </w:t>
      </w:r>
      <w:r w:rsidR="004C2B26">
        <w:rPr>
          <w:sz w:val="20"/>
        </w:rPr>
        <w:t>termed gather</w:t>
      </w:r>
      <w:r w:rsidR="003B6BF1">
        <w:rPr>
          <w:sz w:val="20"/>
        </w:rPr>
        <w:t xml:space="preserve"> or </w:t>
      </w:r>
      <w:r w:rsidR="004C2B26">
        <w:rPr>
          <w:sz w:val="20"/>
        </w:rPr>
        <w:t>scatter in MPI.</w:t>
      </w:r>
    </w:p>
    <w:p w:rsidR="007C3A3E" w:rsidRDefault="000479C8" w:rsidP="00F12220">
      <w:pPr>
        <w:pStyle w:val="CaptionLong"/>
        <w:jc w:val="left"/>
        <w:rPr>
          <w:sz w:val="20"/>
          <w:szCs w:val="20"/>
        </w:rPr>
      </w:pPr>
      <w:r w:rsidRPr="00E95E51">
        <w:rPr>
          <w:b/>
          <w:sz w:val="20"/>
          <w:szCs w:val="20"/>
        </w:rPr>
        <w:t>3.</w:t>
      </w:r>
      <w:r>
        <w:rPr>
          <w:b/>
          <w:sz w:val="20"/>
          <w:szCs w:val="20"/>
        </w:rPr>
        <w:t>2</w:t>
      </w:r>
      <w:r w:rsidRPr="00E95E51">
        <w:rPr>
          <w:b/>
          <w:sz w:val="20"/>
          <w:szCs w:val="20"/>
        </w:rPr>
        <w:t xml:space="preserve"> Pairwise Clustering</w:t>
      </w:r>
      <w:r w:rsidR="007C3A3E">
        <w:rPr>
          <w:sz w:val="20"/>
          <w:szCs w:val="20"/>
        </w:rPr>
        <w:t xml:space="preserve"> </w:t>
      </w:r>
      <w:r w:rsidR="00F12220" w:rsidRPr="00F12220">
        <w:rPr>
          <w:sz w:val="20"/>
          <w:szCs w:val="20"/>
        </w:rPr>
        <w:drawing>
          <wp:inline distT="0" distB="0" distL="0" distR="0">
            <wp:extent cx="2825115" cy="1775657"/>
            <wp:effectExtent l="19050" t="0" r="0"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64263" cy="3874580"/>
                      <a:chOff x="0" y="0"/>
                      <a:chExt cx="6164263" cy="3874580"/>
                    </a:xfrm>
                  </a:grpSpPr>
                  <a:grpSp>
                    <a:nvGrpSpPr>
                      <a:cNvPr id="10" name="Group 9"/>
                      <a:cNvGrpSpPr/>
                    </a:nvGrpSpPr>
                    <a:grpSpPr>
                      <a:xfrm>
                        <a:off x="0" y="0"/>
                        <a:ext cx="6164263" cy="3874580"/>
                        <a:chOff x="0" y="0"/>
                        <a:chExt cx="6164263" cy="3874580"/>
                      </a:xfrm>
                    </a:grpSpPr>
                    <a:pic>
                      <a:nvPicPr>
                        <a:cNvPr id="302082" name="Picture 2"/>
                        <a:cNvPicPr>
                          <a:picLocks noChangeAspect="1" noChangeArrowheads="1"/>
                        </a:cNvPicPr>
                      </a:nvPicPr>
                      <a:blipFill>
                        <a:blip r:embed="rId9"/>
                        <a:srcRect/>
                        <a:stretch>
                          <a:fillRect/>
                        </a:stretch>
                      </a:blipFill>
                      <a:spPr bwMode="auto">
                        <a:xfrm>
                          <a:off x="0" y="0"/>
                          <a:ext cx="6164263" cy="3559175"/>
                        </a:xfrm>
                        <a:prstGeom prst="rect">
                          <a:avLst/>
                        </a:prstGeom>
                        <a:noFill/>
                        <a:ln w="9525">
                          <a:noFill/>
                          <a:miter lim="800000"/>
                          <a:headEnd/>
                          <a:tailEnd/>
                        </a:ln>
                        <a:effectLst/>
                      </a:spPr>
                    </a:pic>
                    <a:sp>
                      <a:nvSpPr>
                        <a:cNvPr id="5" name="TextBox 4"/>
                        <a:cNvSpPr txBox="1"/>
                      </a:nvSpPr>
                      <a:spPr>
                        <a:xfrm>
                          <a:off x="555570" y="182565"/>
                          <a:ext cx="5186035" cy="369332"/>
                        </a:xfrm>
                        <a:prstGeom prst="rect">
                          <a:avLst/>
                        </a:prstGeom>
                        <a:solidFill>
                          <a:schemeClr val="bg1"/>
                        </a:solidFill>
                      </a:spPr>
                      <a:txSp>
                        <a:txBody>
                          <a:bodyPr wrap="none" rtlCol="0">
                            <a:spAutoFit/>
                          </a:bodyPr>
                          <a:lstStyle>
                            <a:defPPr>
                              <a:defRPr lang="en-US"/>
                            </a:defPPr>
                            <a:lvl1pPr algn="r" rtl="0" fontAlgn="base">
                              <a:spcBef>
                                <a:spcPct val="0"/>
                              </a:spcBef>
                              <a:spcAft>
                                <a:spcPct val="0"/>
                              </a:spcAft>
                              <a:defRPr b="1" kern="1200">
                                <a:solidFill>
                                  <a:schemeClr val="tx1"/>
                                </a:solidFill>
                                <a:latin typeface="Arial" charset="0"/>
                                <a:ea typeface="+mn-ea"/>
                                <a:cs typeface="+mn-cs"/>
                              </a:defRPr>
                            </a:lvl1pPr>
                            <a:lvl2pPr marL="457200" algn="r" rtl="0" fontAlgn="base">
                              <a:spcBef>
                                <a:spcPct val="0"/>
                              </a:spcBef>
                              <a:spcAft>
                                <a:spcPct val="0"/>
                              </a:spcAft>
                              <a:defRPr b="1" kern="1200">
                                <a:solidFill>
                                  <a:schemeClr val="tx1"/>
                                </a:solidFill>
                                <a:latin typeface="Arial" charset="0"/>
                                <a:ea typeface="+mn-ea"/>
                                <a:cs typeface="+mn-cs"/>
                              </a:defRPr>
                            </a:lvl2pPr>
                            <a:lvl3pPr marL="914400" algn="r" rtl="0" fontAlgn="base">
                              <a:spcBef>
                                <a:spcPct val="0"/>
                              </a:spcBef>
                              <a:spcAft>
                                <a:spcPct val="0"/>
                              </a:spcAft>
                              <a:defRPr b="1" kern="1200">
                                <a:solidFill>
                                  <a:schemeClr val="tx1"/>
                                </a:solidFill>
                                <a:latin typeface="Arial" charset="0"/>
                                <a:ea typeface="+mn-ea"/>
                                <a:cs typeface="+mn-cs"/>
                              </a:defRPr>
                            </a:lvl3pPr>
                            <a:lvl4pPr marL="1371600" algn="r" rtl="0" fontAlgn="base">
                              <a:spcBef>
                                <a:spcPct val="0"/>
                              </a:spcBef>
                              <a:spcAft>
                                <a:spcPct val="0"/>
                              </a:spcAft>
                              <a:defRPr b="1" kern="1200">
                                <a:solidFill>
                                  <a:schemeClr val="tx1"/>
                                </a:solidFill>
                                <a:latin typeface="Arial" charset="0"/>
                                <a:ea typeface="+mn-ea"/>
                                <a:cs typeface="+mn-cs"/>
                              </a:defRPr>
                            </a:lvl4pPr>
                            <a:lvl5pPr marL="1828800" algn="r"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algn="l"/>
                            <a:r>
                              <a:rPr lang="en-US" dirty="0" smtClean="0"/>
                              <a:t>Pairwise Clustering: 4 Clusters 35339 Points  </a:t>
                            </a:r>
                          </a:p>
                        </a:txBody>
                        <a:useSpRect/>
                      </a:txSp>
                    </a:sp>
                    <a:sp>
                      <a:nvSpPr>
                        <a:cNvPr id="6" name="TextBox 5"/>
                        <a:cNvSpPr txBox="1"/>
                      </a:nvSpPr>
                      <a:spPr>
                        <a:xfrm>
                          <a:off x="1030239" y="3505248"/>
                          <a:ext cx="3929281" cy="369332"/>
                        </a:xfrm>
                        <a:prstGeom prst="rect">
                          <a:avLst/>
                        </a:prstGeom>
                        <a:solidFill>
                          <a:schemeClr val="bg1"/>
                        </a:solidFill>
                      </a:spPr>
                      <a:txSp>
                        <a:txBody>
                          <a:bodyPr wrap="none" rtlCol="0">
                            <a:spAutoFit/>
                          </a:bodyPr>
                          <a:lstStyle>
                            <a:defPPr>
                              <a:defRPr lang="en-US"/>
                            </a:defPPr>
                            <a:lvl1pPr algn="r" rtl="0" fontAlgn="base">
                              <a:spcBef>
                                <a:spcPct val="0"/>
                              </a:spcBef>
                              <a:spcAft>
                                <a:spcPct val="0"/>
                              </a:spcAft>
                              <a:defRPr b="1" kern="1200">
                                <a:solidFill>
                                  <a:schemeClr val="tx1"/>
                                </a:solidFill>
                                <a:latin typeface="Arial" charset="0"/>
                                <a:ea typeface="+mn-ea"/>
                                <a:cs typeface="+mn-cs"/>
                              </a:defRPr>
                            </a:lvl1pPr>
                            <a:lvl2pPr marL="457200" algn="r" rtl="0" fontAlgn="base">
                              <a:spcBef>
                                <a:spcPct val="0"/>
                              </a:spcBef>
                              <a:spcAft>
                                <a:spcPct val="0"/>
                              </a:spcAft>
                              <a:defRPr b="1" kern="1200">
                                <a:solidFill>
                                  <a:schemeClr val="tx1"/>
                                </a:solidFill>
                                <a:latin typeface="Arial" charset="0"/>
                                <a:ea typeface="+mn-ea"/>
                                <a:cs typeface="+mn-cs"/>
                              </a:defRPr>
                            </a:lvl2pPr>
                            <a:lvl3pPr marL="914400" algn="r" rtl="0" fontAlgn="base">
                              <a:spcBef>
                                <a:spcPct val="0"/>
                              </a:spcBef>
                              <a:spcAft>
                                <a:spcPct val="0"/>
                              </a:spcAft>
                              <a:defRPr b="1" kern="1200">
                                <a:solidFill>
                                  <a:schemeClr val="tx1"/>
                                </a:solidFill>
                                <a:latin typeface="Arial" charset="0"/>
                                <a:ea typeface="+mn-ea"/>
                                <a:cs typeface="+mn-cs"/>
                              </a:defRPr>
                            </a:lvl3pPr>
                            <a:lvl4pPr marL="1371600" algn="r" rtl="0" fontAlgn="base">
                              <a:spcBef>
                                <a:spcPct val="0"/>
                              </a:spcBef>
                              <a:spcAft>
                                <a:spcPct val="0"/>
                              </a:spcAft>
                              <a:defRPr b="1" kern="1200">
                                <a:solidFill>
                                  <a:schemeClr val="tx1"/>
                                </a:solidFill>
                                <a:latin typeface="Arial" charset="0"/>
                                <a:ea typeface="+mn-ea"/>
                                <a:cs typeface="+mn-cs"/>
                              </a:defRPr>
                            </a:lvl4pPr>
                            <a:lvl5pPr marL="1828800" algn="r"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r>
                              <a:rPr lang="en-US" dirty="0" smtClean="0"/>
                              <a:t>Threads x MPI Processes x Nodes</a:t>
                            </a:r>
                            <a:endParaRPr lang="en-US" dirty="0"/>
                          </a:p>
                        </a:txBody>
                        <a:useSpRect/>
                      </a:txSp>
                    </a:sp>
                    <a:sp>
                      <a:nvSpPr>
                        <a:cNvPr id="7" name="TextBox 6"/>
                        <a:cNvSpPr txBox="1"/>
                      </a:nvSpPr>
                      <a:spPr>
                        <a:xfrm>
                          <a:off x="4754565" y="2446371"/>
                          <a:ext cx="1210588" cy="338554"/>
                        </a:xfrm>
                        <a:prstGeom prst="rect">
                          <a:avLst/>
                        </a:prstGeom>
                        <a:noFill/>
                      </a:spPr>
                      <a:txSp>
                        <a:txBody>
                          <a:bodyPr wrap="none" rtlCol="0">
                            <a:spAutoFit/>
                          </a:bodyPr>
                          <a:lstStyle>
                            <a:defPPr>
                              <a:defRPr lang="en-US"/>
                            </a:defPPr>
                            <a:lvl1pPr algn="r" rtl="0" fontAlgn="base">
                              <a:spcBef>
                                <a:spcPct val="0"/>
                              </a:spcBef>
                              <a:spcAft>
                                <a:spcPct val="0"/>
                              </a:spcAft>
                              <a:defRPr b="1" kern="1200">
                                <a:solidFill>
                                  <a:schemeClr val="tx1"/>
                                </a:solidFill>
                                <a:latin typeface="Arial" charset="0"/>
                                <a:ea typeface="+mn-ea"/>
                                <a:cs typeface="+mn-cs"/>
                              </a:defRPr>
                            </a:lvl1pPr>
                            <a:lvl2pPr marL="457200" algn="r" rtl="0" fontAlgn="base">
                              <a:spcBef>
                                <a:spcPct val="0"/>
                              </a:spcBef>
                              <a:spcAft>
                                <a:spcPct val="0"/>
                              </a:spcAft>
                              <a:defRPr b="1" kern="1200">
                                <a:solidFill>
                                  <a:schemeClr val="tx1"/>
                                </a:solidFill>
                                <a:latin typeface="Arial" charset="0"/>
                                <a:ea typeface="+mn-ea"/>
                                <a:cs typeface="+mn-cs"/>
                              </a:defRPr>
                            </a:lvl2pPr>
                            <a:lvl3pPr marL="914400" algn="r" rtl="0" fontAlgn="base">
                              <a:spcBef>
                                <a:spcPct val="0"/>
                              </a:spcBef>
                              <a:spcAft>
                                <a:spcPct val="0"/>
                              </a:spcAft>
                              <a:defRPr b="1" kern="1200">
                                <a:solidFill>
                                  <a:schemeClr val="tx1"/>
                                </a:solidFill>
                                <a:latin typeface="Arial" charset="0"/>
                                <a:ea typeface="+mn-ea"/>
                                <a:cs typeface="+mn-cs"/>
                              </a:defRPr>
                            </a:lvl3pPr>
                            <a:lvl4pPr marL="1371600" algn="r" rtl="0" fontAlgn="base">
                              <a:spcBef>
                                <a:spcPct val="0"/>
                              </a:spcBef>
                              <a:spcAft>
                                <a:spcPct val="0"/>
                              </a:spcAft>
                              <a:defRPr b="1" kern="1200">
                                <a:solidFill>
                                  <a:schemeClr val="tx1"/>
                                </a:solidFill>
                                <a:latin typeface="Arial" charset="0"/>
                                <a:ea typeface="+mn-ea"/>
                                <a:cs typeface="+mn-cs"/>
                              </a:defRPr>
                            </a:lvl4pPr>
                            <a:lvl5pPr marL="1828800" algn="r"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r>
                              <a:rPr lang="en-US" sz="1600" dirty="0" smtClean="0"/>
                              <a:t>0.19 hours</a:t>
                            </a:r>
                            <a:endParaRPr lang="en-US" sz="1600" dirty="0"/>
                          </a:p>
                        </a:txBody>
                        <a:useSpRect/>
                      </a:txSp>
                    </a:sp>
                    <a:sp>
                      <a:nvSpPr>
                        <a:cNvPr id="8" name="TextBox 7"/>
                        <a:cNvSpPr txBox="1"/>
                      </a:nvSpPr>
                      <a:spPr>
                        <a:xfrm>
                          <a:off x="519058" y="2300319"/>
                          <a:ext cx="1210588" cy="338554"/>
                        </a:xfrm>
                        <a:prstGeom prst="rect">
                          <a:avLst/>
                        </a:prstGeom>
                        <a:solidFill>
                          <a:schemeClr val="bg1"/>
                        </a:solidFill>
                      </a:spPr>
                      <a:txSp>
                        <a:txBody>
                          <a:bodyPr wrap="none" rtlCol="0">
                            <a:spAutoFit/>
                          </a:bodyPr>
                          <a:lstStyle>
                            <a:defPPr>
                              <a:defRPr lang="en-US"/>
                            </a:defPPr>
                            <a:lvl1pPr algn="r" rtl="0" fontAlgn="base">
                              <a:spcBef>
                                <a:spcPct val="0"/>
                              </a:spcBef>
                              <a:spcAft>
                                <a:spcPct val="0"/>
                              </a:spcAft>
                              <a:defRPr b="1" kern="1200">
                                <a:solidFill>
                                  <a:schemeClr val="tx1"/>
                                </a:solidFill>
                                <a:latin typeface="Arial" charset="0"/>
                                <a:ea typeface="+mn-ea"/>
                                <a:cs typeface="+mn-cs"/>
                              </a:defRPr>
                            </a:lvl1pPr>
                            <a:lvl2pPr marL="457200" algn="r" rtl="0" fontAlgn="base">
                              <a:spcBef>
                                <a:spcPct val="0"/>
                              </a:spcBef>
                              <a:spcAft>
                                <a:spcPct val="0"/>
                              </a:spcAft>
                              <a:defRPr b="1" kern="1200">
                                <a:solidFill>
                                  <a:schemeClr val="tx1"/>
                                </a:solidFill>
                                <a:latin typeface="Arial" charset="0"/>
                                <a:ea typeface="+mn-ea"/>
                                <a:cs typeface="+mn-cs"/>
                              </a:defRPr>
                            </a:lvl2pPr>
                            <a:lvl3pPr marL="914400" algn="r" rtl="0" fontAlgn="base">
                              <a:spcBef>
                                <a:spcPct val="0"/>
                              </a:spcBef>
                              <a:spcAft>
                                <a:spcPct val="0"/>
                              </a:spcAft>
                              <a:defRPr b="1" kern="1200">
                                <a:solidFill>
                                  <a:schemeClr val="tx1"/>
                                </a:solidFill>
                                <a:latin typeface="Arial" charset="0"/>
                                <a:ea typeface="+mn-ea"/>
                                <a:cs typeface="+mn-cs"/>
                              </a:defRPr>
                            </a:lvl3pPr>
                            <a:lvl4pPr marL="1371600" algn="r" rtl="0" fontAlgn="base">
                              <a:spcBef>
                                <a:spcPct val="0"/>
                              </a:spcBef>
                              <a:spcAft>
                                <a:spcPct val="0"/>
                              </a:spcAft>
                              <a:defRPr b="1" kern="1200">
                                <a:solidFill>
                                  <a:schemeClr val="tx1"/>
                                </a:solidFill>
                                <a:latin typeface="Arial" charset="0"/>
                                <a:ea typeface="+mn-ea"/>
                                <a:cs typeface="+mn-cs"/>
                              </a:defRPr>
                            </a:lvl4pPr>
                            <a:lvl5pPr marL="1828800" algn="r"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r>
                              <a:rPr lang="en-US" sz="1600" dirty="0" smtClean="0"/>
                              <a:t>0.46 hours</a:t>
                            </a:r>
                            <a:endParaRPr lang="en-US" sz="1600" dirty="0"/>
                          </a:p>
                        </a:txBody>
                        <a:useSpRect/>
                      </a:txSp>
                    </a:sp>
                    <a:sp>
                      <a:nvSpPr>
                        <a:cNvPr id="9" name="TextBox 8"/>
                        <a:cNvSpPr txBox="1"/>
                      </a:nvSpPr>
                      <a:spPr>
                        <a:xfrm>
                          <a:off x="519057" y="1131903"/>
                          <a:ext cx="2210862" cy="369332"/>
                        </a:xfrm>
                        <a:prstGeom prst="rect">
                          <a:avLst/>
                        </a:prstGeom>
                        <a:noFill/>
                      </a:spPr>
                      <a:txSp>
                        <a:txBody>
                          <a:bodyPr wrap="square" rtlCol="0">
                            <a:spAutoFit/>
                          </a:bodyPr>
                          <a:lstStyle>
                            <a:defPPr>
                              <a:defRPr lang="en-US"/>
                            </a:defPPr>
                            <a:lvl1pPr algn="r" rtl="0" fontAlgn="base">
                              <a:spcBef>
                                <a:spcPct val="0"/>
                              </a:spcBef>
                              <a:spcAft>
                                <a:spcPct val="0"/>
                              </a:spcAft>
                              <a:defRPr b="1" kern="1200">
                                <a:solidFill>
                                  <a:schemeClr val="tx1"/>
                                </a:solidFill>
                                <a:latin typeface="Arial" charset="0"/>
                                <a:ea typeface="+mn-ea"/>
                                <a:cs typeface="+mn-cs"/>
                              </a:defRPr>
                            </a:lvl1pPr>
                            <a:lvl2pPr marL="457200" algn="r" rtl="0" fontAlgn="base">
                              <a:spcBef>
                                <a:spcPct val="0"/>
                              </a:spcBef>
                              <a:spcAft>
                                <a:spcPct val="0"/>
                              </a:spcAft>
                              <a:defRPr b="1" kern="1200">
                                <a:solidFill>
                                  <a:schemeClr val="tx1"/>
                                </a:solidFill>
                                <a:latin typeface="Arial" charset="0"/>
                                <a:ea typeface="+mn-ea"/>
                                <a:cs typeface="+mn-cs"/>
                              </a:defRPr>
                            </a:lvl2pPr>
                            <a:lvl3pPr marL="914400" algn="r" rtl="0" fontAlgn="base">
                              <a:spcBef>
                                <a:spcPct val="0"/>
                              </a:spcBef>
                              <a:spcAft>
                                <a:spcPct val="0"/>
                              </a:spcAft>
                              <a:defRPr b="1" kern="1200">
                                <a:solidFill>
                                  <a:schemeClr val="tx1"/>
                                </a:solidFill>
                                <a:latin typeface="Arial" charset="0"/>
                                <a:ea typeface="+mn-ea"/>
                                <a:cs typeface="+mn-cs"/>
                              </a:defRPr>
                            </a:lvl3pPr>
                            <a:lvl4pPr marL="1371600" algn="r" rtl="0" fontAlgn="base">
                              <a:spcBef>
                                <a:spcPct val="0"/>
                              </a:spcBef>
                              <a:spcAft>
                                <a:spcPct val="0"/>
                              </a:spcAft>
                              <a:defRPr b="1" kern="1200">
                                <a:solidFill>
                                  <a:schemeClr val="tx1"/>
                                </a:solidFill>
                                <a:latin typeface="Arial" charset="0"/>
                                <a:ea typeface="+mn-ea"/>
                                <a:cs typeface="+mn-cs"/>
                              </a:defRPr>
                            </a:lvl4pPr>
                            <a:lvl5pPr marL="1828800" algn="r"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r>
                              <a:rPr lang="en-US" dirty="0" smtClean="0"/>
                              <a:t>Parallel Overhead</a:t>
                            </a:r>
                          </a:p>
                        </a:txBody>
                        <a:useSpRect/>
                      </a:txSp>
                    </a:sp>
                  </a:grpSp>
                </lc:lockedCanvas>
              </a:graphicData>
            </a:graphic>
          </wp:inline>
        </w:drawing>
      </w:r>
      <w:r w:rsidR="007C3A3E" w:rsidRPr="007C3A3E">
        <w:rPr>
          <w:rStyle w:val="NoSpacingChar"/>
          <w:rFonts w:eastAsia="MS Mincho"/>
          <w:sz w:val="16"/>
          <w:szCs w:val="16"/>
        </w:rPr>
        <w:t xml:space="preserve"> </w:t>
      </w:r>
      <w:r w:rsidR="007C3A3E">
        <w:rPr>
          <w:rStyle w:val="NoSpacingChar"/>
          <w:rFonts w:eastAsia="MS Mincho"/>
          <w:sz w:val="16"/>
          <w:szCs w:val="16"/>
        </w:rPr>
        <w:t>Fig</w:t>
      </w:r>
      <w:r w:rsidR="007C3A3E" w:rsidRPr="00B3180F">
        <w:rPr>
          <w:rStyle w:val="NoSpacingChar"/>
          <w:rFonts w:eastAsia="MS Mincho"/>
          <w:sz w:val="16"/>
          <w:szCs w:val="16"/>
        </w:rPr>
        <w:t xml:space="preserve"> </w:t>
      </w:r>
      <w:r w:rsidR="00F12220">
        <w:rPr>
          <w:rStyle w:val="NoSpacingChar"/>
          <w:rFonts w:eastAsia="MS Mincho"/>
          <w:sz w:val="16"/>
          <w:szCs w:val="16"/>
        </w:rPr>
        <w:t>5</w:t>
      </w:r>
      <w:r w:rsidR="007C3A3E" w:rsidRPr="00B3180F">
        <w:rPr>
          <w:rStyle w:val="NoSpacingChar"/>
          <w:rFonts w:eastAsia="MS Mincho"/>
          <w:sz w:val="16"/>
          <w:szCs w:val="16"/>
        </w:rPr>
        <w:t>: Performance of Pairwise Clustering for 4 clusters on 768 core Tempest. 10 Clusters take about 3.5 times longer</w:t>
      </w:r>
    </w:p>
    <w:p w:rsidR="000479C8" w:rsidRPr="003B6BF1" w:rsidRDefault="000479C8" w:rsidP="000746B6">
      <w:pPr>
        <w:pStyle w:val="CaptionLong"/>
        <w:spacing w:line="480" w:lineRule="auto"/>
        <w:rPr>
          <w:b/>
          <w:sz w:val="20"/>
          <w:szCs w:val="20"/>
        </w:rPr>
      </w:pPr>
      <w:r>
        <w:rPr>
          <w:sz w:val="20"/>
          <w:szCs w:val="20"/>
        </w:rPr>
        <w:t xml:space="preserve">We have implemented a robust parallel clustering algorithm using deterministic annealing that finds clear clusters in </w:t>
      </w:r>
      <w:r w:rsidR="003B6BF1">
        <w:rPr>
          <w:sz w:val="20"/>
          <w:szCs w:val="20"/>
        </w:rPr>
        <w:t xml:space="preserve">the </w:t>
      </w:r>
      <w:r>
        <w:rPr>
          <w:sz w:val="20"/>
          <w:szCs w:val="20"/>
        </w:rPr>
        <w:t>3</w:t>
      </w:r>
      <w:r w:rsidR="00F5295D">
        <w:rPr>
          <w:sz w:val="20"/>
          <w:szCs w:val="20"/>
        </w:rPr>
        <w:t>5</w:t>
      </w:r>
      <w:r>
        <w:rPr>
          <w:sz w:val="20"/>
          <w:szCs w:val="20"/>
        </w:rPr>
        <w:t>339 Alu sample</w:t>
      </w:r>
      <w:r w:rsidR="00F12220">
        <w:rPr>
          <w:sz w:val="20"/>
          <w:szCs w:val="20"/>
        </w:rPr>
        <w:t xml:space="preserve"> with performance given in fig. 5</w:t>
      </w:r>
      <w:r>
        <w:rPr>
          <w:sz w:val="20"/>
          <w:szCs w:val="20"/>
        </w:rPr>
        <w:t>. This uses an approach that uses no vectors but just pairwise dissimilarities</w:t>
      </w:r>
      <w:r w:rsidR="00F5295D">
        <w:rPr>
          <w:sz w:val="20"/>
          <w:szCs w:val="20"/>
        </w:rPr>
        <w:t xml:space="preserve"> [</w:t>
      </w:r>
      <w:r w:rsidR="0055064B">
        <w:rPr>
          <w:sz w:val="20"/>
          <w:szCs w:val="20"/>
        </w:rPr>
        <w:t>4</w:t>
      </w:r>
      <w:r w:rsidR="00F5295D">
        <w:rPr>
          <w:sz w:val="20"/>
          <w:szCs w:val="20"/>
        </w:rPr>
        <w:t>]</w:t>
      </w:r>
      <w:r>
        <w:rPr>
          <w:sz w:val="20"/>
          <w:szCs w:val="20"/>
        </w:rPr>
        <w:t>.</w:t>
      </w:r>
      <w:r w:rsidR="003B6BF1">
        <w:rPr>
          <w:b/>
          <w:sz w:val="20"/>
          <w:szCs w:val="20"/>
        </w:rPr>
        <w:t xml:space="preserve"> </w:t>
      </w:r>
      <w:r>
        <w:rPr>
          <w:sz w:val="20"/>
          <w:szCs w:val="20"/>
        </w:rPr>
        <w:t xml:space="preserve"> </w:t>
      </w:r>
    </w:p>
    <w:p w:rsidR="000479C8" w:rsidRPr="00F12220" w:rsidRDefault="000479C8" w:rsidP="000746B6">
      <w:pPr>
        <w:pStyle w:val="CaptionLong"/>
        <w:spacing w:line="480" w:lineRule="auto"/>
        <w:rPr>
          <w:b/>
          <w:sz w:val="20"/>
          <w:szCs w:val="20"/>
        </w:rPr>
      </w:pPr>
      <w:r w:rsidRPr="00E75186">
        <w:rPr>
          <w:b/>
          <w:sz w:val="20"/>
          <w:szCs w:val="20"/>
        </w:rPr>
        <w:t>3.</w:t>
      </w:r>
      <w:r>
        <w:rPr>
          <w:b/>
          <w:sz w:val="20"/>
          <w:szCs w:val="20"/>
        </w:rPr>
        <w:t>3</w:t>
      </w:r>
      <w:r w:rsidRPr="00E75186">
        <w:rPr>
          <w:b/>
          <w:sz w:val="20"/>
          <w:szCs w:val="20"/>
        </w:rPr>
        <w:t xml:space="preserve"> Multidimensional Scaling</w:t>
      </w:r>
      <w:r>
        <w:rPr>
          <w:b/>
          <w:sz w:val="20"/>
          <w:szCs w:val="20"/>
        </w:rPr>
        <w:t xml:space="preserve"> MDS</w:t>
      </w:r>
      <w:r>
        <w:rPr>
          <w:sz w:val="20"/>
          <w:szCs w:val="20"/>
        </w:rPr>
        <w:t xml:space="preserve"> </w:t>
      </w:r>
      <w:r w:rsidR="00F12220">
        <w:rPr>
          <w:sz w:val="20"/>
          <w:szCs w:val="20"/>
        </w:rPr>
        <w:br/>
      </w:r>
      <w:r w:rsidRPr="002B615C">
        <w:rPr>
          <w:sz w:val="20"/>
          <w:szCs w:val="20"/>
        </w:rPr>
        <w:t xml:space="preserve">Given dissimilarities </w:t>
      </w:r>
      <w:proofErr w:type="gramStart"/>
      <w:r w:rsidRPr="002B615C">
        <w:rPr>
          <w:sz w:val="20"/>
          <w:szCs w:val="20"/>
        </w:rPr>
        <w:t>D(</w:t>
      </w:r>
      <w:proofErr w:type="spellStart"/>
      <w:proofErr w:type="gramEnd"/>
      <w:r w:rsidRPr="002B615C">
        <w:rPr>
          <w:sz w:val="20"/>
          <w:szCs w:val="20"/>
        </w:rPr>
        <w:t>i,j</w:t>
      </w:r>
      <w:proofErr w:type="spellEnd"/>
      <w:r w:rsidRPr="002B615C">
        <w:rPr>
          <w:sz w:val="20"/>
          <w:szCs w:val="20"/>
        </w:rPr>
        <w:t xml:space="preserve">), </w:t>
      </w:r>
      <w:r>
        <w:rPr>
          <w:sz w:val="20"/>
          <w:szCs w:val="20"/>
        </w:rPr>
        <w:t xml:space="preserve">MDS </w:t>
      </w:r>
      <w:r w:rsidRPr="002B615C">
        <w:rPr>
          <w:sz w:val="20"/>
          <w:szCs w:val="20"/>
        </w:rPr>
        <w:t>find</w:t>
      </w:r>
      <w:r>
        <w:rPr>
          <w:sz w:val="20"/>
          <w:szCs w:val="20"/>
        </w:rPr>
        <w:t>s</w:t>
      </w:r>
      <w:r w:rsidRPr="002B615C">
        <w:rPr>
          <w:sz w:val="20"/>
          <w:szCs w:val="20"/>
        </w:rPr>
        <w:t xml:space="preserve"> the best set of vectors </w:t>
      </w:r>
      <w:r w:rsidRPr="00E75186">
        <w:rPr>
          <w:b/>
          <w:sz w:val="20"/>
          <w:szCs w:val="20"/>
          <w:u w:val="single"/>
        </w:rPr>
        <w:t>x</w:t>
      </w:r>
      <w:r w:rsidRPr="00E75186">
        <w:rPr>
          <w:i/>
          <w:sz w:val="20"/>
          <w:szCs w:val="20"/>
          <w:vertAlign w:val="subscript"/>
        </w:rPr>
        <w:t>i</w:t>
      </w:r>
      <w:r w:rsidRPr="002B615C">
        <w:rPr>
          <w:sz w:val="20"/>
          <w:szCs w:val="20"/>
        </w:rPr>
        <w:t xml:space="preserve"> in </w:t>
      </w:r>
      <w:r>
        <w:rPr>
          <w:sz w:val="20"/>
          <w:szCs w:val="20"/>
        </w:rPr>
        <w:t>any chosen</w:t>
      </w:r>
      <w:r w:rsidRPr="002B615C">
        <w:rPr>
          <w:sz w:val="20"/>
          <w:szCs w:val="20"/>
        </w:rPr>
        <w:t xml:space="preserve"> dimension</w:t>
      </w:r>
      <w:r>
        <w:rPr>
          <w:sz w:val="20"/>
          <w:szCs w:val="20"/>
        </w:rPr>
        <w:t xml:space="preserve"> d</w:t>
      </w:r>
      <w:r w:rsidRPr="002B615C">
        <w:rPr>
          <w:sz w:val="20"/>
          <w:szCs w:val="20"/>
        </w:rPr>
        <w:t xml:space="preserve"> minimizing </w:t>
      </w:r>
      <w:r w:rsidRPr="002B615C">
        <w:rPr>
          <w:sz w:val="20"/>
          <w:szCs w:val="20"/>
        </w:rPr>
        <w:br/>
      </w:r>
      <w:r w:rsidRPr="002B615C">
        <w:rPr>
          <w:sz w:val="20"/>
          <w:szCs w:val="20"/>
        </w:rPr>
        <w:tab/>
      </w:r>
      <w:r>
        <w:rPr>
          <w:sz w:val="20"/>
          <w:szCs w:val="20"/>
        </w:rPr>
        <w:sym w:font="Symbol" w:char="F053"/>
      </w:r>
      <w:proofErr w:type="spellStart"/>
      <w:r w:rsidRPr="00E75186">
        <w:rPr>
          <w:i/>
          <w:sz w:val="20"/>
          <w:szCs w:val="20"/>
          <w:vertAlign w:val="subscript"/>
        </w:rPr>
        <w:t>i,j</w:t>
      </w:r>
      <w:proofErr w:type="spellEnd"/>
      <w:r w:rsidRPr="002B615C">
        <w:rPr>
          <w:sz w:val="20"/>
          <w:szCs w:val="20"/>
        </w:rPr>
        <w:t xml:space="preserve"> </w:t>
      </w:r>
      <w:r w:rsidRPr="00994B22">
        <w:rPr>
          <w:i/>
          <w:sz w:val="20"/>
          <w:szCs w:val="20"/>
        </w:rPr>
        <w:t>weight(</w:t>
      </w:r>
      <w:proofErr w:type="spellStart"/>
      <w:r w:rsidRPr="00994B22">
        <w:rPr>
          <w:i/>
          <w:sz w:val="20"/>
          <w:szCs w:val="20"/>
        </w:rPr>
        <w:t>i,j</w:t>
      </w:r>
      <w:proofErr w:type="spellEnd"/>
      <w:r w:rsidRPr="00994B22">
        <w:rPr>
          <w:i/>
          <w:sz w:val="20"/>
          <w:szCs w:val="20"/>
        </w:rPr>
        <w:t>)</w:t>
      </w:r>
      <w:r w:rsidRPr="002B615C">
        <w:rPr>
          <w:sz w:val="20"/>
          <w:szCs w:val="20"/>
        </w:rPr>
        <w:t xml:space="preserve"> (D(</w:t>
      </w:r>
      <w:proofErr w:type="spellStart"/>
      <w:r w:rsidRPr="002B615C">
        <w:rPr>
          <w:sz w:val="20"/>
          <w:szCs w:val="20"/>
        </w:rPr>
        <w:t>i,j</w:t>
      </w:r>
      <w:proofErr w:type="spellEnd"/>
      <w:r w:rsidRPr="002B615C">
        <w:rPr>
          <w:sz w:val="20"/>
          <w:szCs w:val="20"/>
        </w:rPr>
        <w:t>) – |</w:t>
      </w:r>
      <w:r w:rsidRPr="00E75186">
        <w:rPr>
          <w:b/>
          <w:sz w:val="20"/>
          <w:szCs w:val="20"/>
          <w:u w:val="single"/>
        </w:rPr>
        <w:t>x</w:t>
      </w:r>
      <w:r w:rsidRPr="00E75186">
        <w:rPr>
          <w:i/>
          <w:sz w:val="20"/>
          <w:szCs w:val="20"/>
          <w:vertAlign w:val="subscript"/>
        </w:rPr>
        <w:t>i</w:t>
      </w:r>
      <w:r w:rsidRPr="002B615C">
        <w:rPr>
          <w:sz w:val="20"/>
          <w:szCs w:val="20"/>
        </w:rPr>
        <w:t xml:space="preserve"> – </w:t>
      </w:r>
      <w:proofErr w:type="spellStart"/>
      <w:r w:rsidRPr="00E75186">
        <w:rPr>
          <w:b/>
          <w:sz w:val="20"/>
          <w:szCs w:val="20"/>
        </w:rPr>
        <w:t>x</w:t>
      </w:r>
      <w:r w:rsidRPr="00E75186">
        <w:rPr>
          <w:i/>
          <w:sz w:val="20"/>
          <w:szCs w:val="20"/>
          <w:vertAlign w:val="subscript"/>
        </w:rPr>
        <w:t>j</w:t>
      </w:r>
      <w:r w:rsidRPr="00994B22">
        <w:rPr>
          <w:i/>
          <w:sz w:val="20"/>
          <w:szCs w:val="20"/>
        </w:rPr>
        <w:t>|</w:t>
      </w:r>
      <w:r w:rsidRPr="00994B22">
        <w:rPr>
          <w:i/>
          <w:sz w:val="20"/>
          <w:szCs w:val="20"/>
          <w:vertAlign w:val="superscript"/>
        </w:rPr>
        <w:t>n</w:t>
      </w:r>
      <w:proofErr w:type="spellEnd"/>
      <w:r w:rsidRPr="002B615C">
        <w:rPr>
          <w:sz w:val="20"/>
          <w:szCs w:val="20"/>
        </w:rPr>
        <w:t>)</w:t>
      </w:r>
      <w:r w:rsidRPr="00E75186">
        <w:rPr>
          <w:sz w:val="20"/>
          <w:szCs w:val="20"/>
          <w:vertAlign w:val="superscript"/>
        </w:rPr>
        <w:t>2</w:t>
      </w:r>
      <w:r w:rsidRPr="002B615C">
        <w:rPr>
          <w:sz w:val="20"/>
          <w:szCs w:val="20"/>
        </w:rPr>
        <w:t xml:space="preserve">               (</w:t>
      </w:r>
      <w:r>
        <w:rPr>
          <w:sz w:val="20"/>
          <w:szCs w:val="20"/>
        </w:rPr>
        <w:t>1</w:t>
      </w:r>
      <w:r w:rsidRPr="002B615C">
        <w:rPr>
          <w:sz w:val="20"/>
          <w:szCs w:val="20"/>
        </w:rPr>
        <w:t>)</w:t>
      </w:r>
    </w:p>
    <w:p w:rsidR="000479C8" w:rsidRPr="00CF4172" w:rsidRDefault="000479C8" w:rsidP="000746B6">
      <w:pPr>
        <w:pStyle w:val="CaptionLong"/>
        <w:spacing w:line="480" w:lineRule="auto"/>
        <w:rPr>
          <w:sz w:val="20"/>
          <w:szCs w:val="20"/>
        </w:rPr>
      </w:pPr>
      <w:r w:rsidRPr="006C2880">
        <w:rPr>
          <w:sz w:val="20"/>
          <w:szCs w:val="20"/>
        </w:rPr>
        <w:t>The weight is chosen to reflect importance of point or to fit smaller distance more precisely than larger ones.</w:t>
      </w:r>
      <w:r>
        <w:rPr>
          <w:sz w:val="20"/>
          <w:szCs w:val="20"/>
        </w:rPr>
        <w:t xml:space="preserve"> </w:t>
      </w:r>
      <w:r>
        <w:rPr>
          <w:sz w:val="20"/>
          <w:szCs w:val="20"/>
        </w:rPr>
        <w:lastRenderedPageBreak/>
        <w:t>We have previously reported results using</w:t>
      </w:r>
      <w:r w:rsidRPr="002B615C">
        <w:rPr>
          <w:sz w:val="20"/>
          <w:szCs w:val="20"/>
        </w:rPr>
        <w:t xml:space="preserve"> Expectation Maxim</w:t>
      </w:r>
      <w:r>
        <w:rPr>
          <w:sz w:val="20"/>
          <w:szCs w:val="20"/>
        </w:rPr>
        <w:t>iz</w:t>
      </w:r>
      <w:r w:rsidRPr="002B615C">
        <w:rPr>
          <w:sz w:val="20"/>
          <w:szCs w:val="20"/>
        </w:rPr>
        <w:t xml:space="preserve">ation </w:t>
      </w:r>
      <w:r>
        <w:rPr>
          <w:sz w:val="20"/>
          <w:szCs w:val="20"/>
        </w:rPr>
        <w:t xml:space="preserve">but here we use a different technique exploiting that (1) </w:t>
      </w:r>
      <w:r w:rsidRPr="002B615C">
        <w:rPr>
          <w:sz w:val="20"/>
          <w:szCs w:val="20"/>
        </w:rPr>
        <w:t xml:space="preserve">is “just” </w:t>
      </w:r>
      <w:r>
        <w:rPr>
          <w:sz w:val="20"/>
          <w:szCs w:val="20"/>
        </w:rPr>
        <w:sym w:font="Symbol" w:char="F063"/>
      </w:r>
      <w:r w:rsidRPr="00B42142">
        <w:rPr>
          <w:sz w:val="20"/>
          <w:szCs w:val="20"/>
          <w:vertAlign w:val="superscript"/>
        </w:rPr>
        <w:t>2</w:t>
      </w:r>
      <w:r w:rsidRPr="002B615C">
        <w:rPr>
          <w:sz w:val="20"/>
          <w:szCs w:val="20"/>
        </w:rPr>
        <w:t xml:space="preserve"> and one can use very reliable nonlinear optimizers</w:t>
      </w:r>
      <w:r>
        <w:rPr>
          <w:sz w:val="20"/>
          <w:szCs w:val="20"/>
        </w:rPr>
        <w:t xml:space="preserve"> to solve it.</w:t>
      </w:r>
      <w:r w:rsidR="003B6BF1">
        <w:rPr>
          <w:sz w:val="20"/>
          <w:szCs w:val="20"/>
        </w:rPr>
        <w:t xml:space="preserve"> </w:t>
      </w:r>
      <w:r>
        <w:rPr>
          <w:sz w:val="20"/>
          <w:szCs w:val="20"/>
        </w:rPr>
        <w:t xml:space="preserve"> </w:t>
      </w:r>
      <w:r w:rsidR="00ED5CD0">
        <w:rPr>
          <w:sz w:val="20"/>
          <w:szCs w:val="20"/>
        </w:rPr>
        <w:t xml:space="preserve">We support general </w:t>
      </w:r>
      <w:r>
        <w:rPr>
          <w:sz w:val="20"/>
          <w:szCs w:val="20"/>
        </w:rPr>
        <w:t xml:space="preserve">choices for the </w:t>
      </w:r>
      <w:proofErr w:type="gramStart"/>
      <w:r w:rsidR="00ED5CD0" w:rsidRPr="00994B22">
        <w:rPr>
          <w:i/>
          <w:sz w:val="20"/>
          <w:szCs w:val="20"/>
        </w:rPr>
        <w:t>weight(</w:t>
      </w:r>
      <w:proofErr w:type="spellStart"/>
      <w:proofErr w:type="gramEnd"/>
      <w:r w:rsidR="00ED5CD0" w:rsidRPr="00994B22">
        <w:rPr>
          <w:i/>
          <w:sz w:val="20"/>
          <w:szCs w:val="20"/>
        </w:rPr>
        <w:t>i,j</w:t>
      </w:r>
      <w:proofErr w:type="spellEnd"/>
      <w:r w:rsidR="00ED5CD0" w:rsidRPr="00994B22">
        <w:rPr>
          <w:i/>
          <w:sz w:val="20"/>
          <w:szCs w:val="20"/>
        </w:rPr>
        <w:t>)</w:t>
      </w:r>
      <w:r w:rsidR="00ED5CD0">
        <w:rPr>
          <w:sz w:val="20"/>
          <w:szCs w:val="20"/>
        </w:rPr>
        <w:t xml:space="preserve"> and </w:t>
      </w:r>
      <w:r w:rsidR="00994B22">
        <w:rPr>
          <w:sz w:val="20"/>
          <w:szCs w:val="20"/>
        </w:rPr>
        <w:t xml:space="preserve">power </w:t>
      </w:r>
      <w:r w:rsidR="00ED5CD0" w:rsidRPr="00994B22">
        <w:rPr>
          <w:i/>
          <w:sz w:val="20"/>
          <w:szCs w:val="20"/>
        </w:rPr>
        <w:t>n</w:t>
      </w:r>
      <w:r w:rsidR="00ED5CD0">
        <w:rPr>
          <w:sz w:val="20"/>
          <w:szCs w:val="20"/>
        </w:rPr>
        <w:t xml:space="preserve"> and </w:t>
      </w:r>
      <w:r>
        <w:rPr>
          <w:sz w:val="20"/>
          <w:szCs w:val="20"/>
        </w:rPr>
        <w:t>is f</w:t>
      </w:r>
      <w:r w:rsidRPr="002B615C">
        <w:rPr>
          <w:sz w:val="20"/>
          <w:szCs w:val="20"/>
        </w:rPr>
        <w:t xml:space="preserve">ully parallel over unknowns </w:t>
      </w:r>
      <w:r w:rsidRPr="00B42142">
        <w:rPr>
          <w:b/>
          <w:sz w:val="20"/>
          <w:szCs w:val="20"/>
          <w:u w:val="single"/>
        </w:rPr>
        <w:t>x</w:t>
      </w:r>
      <w:r w:rsidRPr="00B42142">
        <w:rPr>
          <w:i/>
          <w:sz w:val="20"/>
          <w:szCs w:val="20"/>
          <w:vertAlign w:val="subscript"/>
        </w:rPr>
        <w:t>i</w:t>
      </w:r>
      <w:r>
        <w:rPr>
          <w:sz w:val="20"/>
          <w:szCs w:val="20"/>
        </w:rPr>
        <w:t>. All our MDS services feed their results</w:t>
      </w:r>
      <w:r w:rsidRPr="002B615C">
        <w:rPr>
          <w:sz w:val="20"/>
          <w:szCs w:val="20"/>
        </w:rPr>
        <w:t xml:space="preserve"> directly to powerful Point Visualizer</w:t>
      </w:r>
      <w:r>
        <w:rPr>
          <w:sz w:val="20"/>
          <w:szCs w:val="20"/>
        </w:rPr>
        <w:t xml:space="preserve">. </w:t>
      </w:r>
      <w:r w:rsidR="007C3A3E">
        <w:rPr>
          <w:sz w:val="20"/>
          <w:szCs w:val="20"/>
        </w:rPr>
        <w:t>The excellent p</w:t>
      </w:r>
      <w:r>
        <w:rPr>
          <w:sz w:val="20"/>
          <w:szCs w:val="20"/>
        </w:rPr>
        <w:t>arallel performance of MDS</w:t>
      </w:r>
      <w:r w:rsidR="007C3A3E">
        <w:rPr>
          <w:sz w:val="20"/>
          <w:szCs w:val="20"/>
        </w:rPr>
        <w:t xml:space="preserve"> will be reported</w:t>
      </w:r>
      <w:r w:rsidR="00994B22">
        <w:rPr>
          <w:sz w:val="20"/>
          <w:szCs w:val="20"/>
        </w:rPr>
        <w:t xml:space="preserve"> elsewhere</w:t>
      </w:r>
      <w:r>
        <w:rPr>
          <w:sz w:val="20"/>
          <w:szCs w:val="20"/>
        </w:rPr>
        <w:t xml:space="preserve">. </w:t>
      </w:r>
      <w:r w:rsidRPr="00CF4172">
        <w:rPr>
          <w:sz w:val="20"/>
          <w:szCs w:val="20"/>
        </w:rPr>
        <w:t>Note that total time for all 3 steps on the full Tempest system is about 6 hours and clearly getting to a million sequences is not unrealistic and would take around a week on a 1024 node cluster.</w:t>
      </w:r>
      <w:r w:rsidR="00ED5CD0">
        <w:rPr>
          <w:sz w:val="20"/>
          <w:szCs w:val="20"/>
        </w:rPr>
        <w:t xml:space="preserve"> All capabilities discussed in this paper will be made available as cloud or TeraGrid services over next </w:t>
      </w:r>
      <w:r w:rsidR="00F12220">
        <w:rPr>
          <w:sz w:val="20"/>
          <w:szCs w:val="20"/>
        </w:rPr>
        <w:t>year</w:t>
      </w:r>
      <w:r w:rsidR="00ED5CD0">
        <w:rPr>
          <w:sz w:val="20"/>
          <w:szCs w:val="20"/>
        </w:rPr>
        <w:t xml:space="preserve"> [</w:t>
      </w:r>
      <w:r w:rsidR="0055064B">
        <w:rPr>
          <w:sz w:val="20"/>
          <w:szCs w:val="20"/>
        </w:rPr>
        <w:t>5</w:t>
      </w:r>
      <w:r w:rsidR="00ED5CD0">
        <w:rPr>
          <w:sz w:val="20"/>
          <w:szCs w:val="20"/>
        </w:rPr>
        <w:t>].</w:t>
      </w:r>
    </w:p>
    <w:p w:rsidR="000479C8" w:rsidRPr="003B6BF1" w:rsidRDefault="000479C8" w:rsidP="000746B6">
      <w:pPr>
        <w:pStyle w:val="Heading1"/>
        <w:spacing w:line="480" w:lineRule="auto"/>
        <w:rPr>
          <w:sz w:val="20"/>
        </w:rPr>
      </w:pPr>
      <w:r w:rsidRPr="003B6BF1">
        <w:rPr>
          <w:sz w:val="20"/>
        </w:rPr>
        <w:t>6. References</w:t>
      </w:r>
    </w:p>
    <w:p w:rsidR="006B7FAE" w:rsidRPr="00ED5CD0" w:rsidRDefault="00ED5CD0" w:rsidP="000746B6">
      <w:pPr>
        <w:spacing w:line="480" w:lineRule="auto"/>
        <w:rPr>
          <w:sz w:val="16"/>
          <w:szCs w:val="16"/>
        </w:rPr>
      </w:pPr>
      <w:bookmarkStart w:id="0" w:name="_Ref236045833"/>
      <w:r w:rsidRPr="00ED5CD0">
        <w:rPr>
          <w:sz w:val="16"/>
          <w:szCs w:val="16"/>
        </w:rPr>
        <w:t>[</w:t>
      </w:r>
      <w:r w:rsidR="00F12220">
        <w:rPr>
          <w:sz w:val="16"/>
          <w:szCs w:val="16"/>
        </w:rPr>
        <w:t>1</w:t>
      </w:r>
      <w:r w:rsidRPr="00ED5CD0">
        <w:rPr>
          <w:sz w:val="16"/>
          <w:szCs w:val="16"/>
        </w:rPr>
        <w:t xml:space="preserve">] </w:t>
      </w:r>
      <w:proofErr w:type="spellStart"/>
      <w:r w:rsidR="003B6BF1" w:rsidRPr="00ED5CD0">
        <w:rPr>
          <w:sz w:val="16"/>
          <w:szCs w:val="16"/>
        </w:rPr>
        <w:t>Y.Yu</w:t>
      </w:r>
      <w:proofErr w:type="spellEnd"/>
      <w:r w:rsidR="003B6BF1" w:rsidRPr="00ED5CD0">
        <w:rPr>
          <w:sz w:val="16"/>
          <w:szCs w:val="16"/>
        </w:rPr>
        <w:t xml:space="preserve"> et al. </w:t>
      </w:r>
      <w:r w:rsidR="000479C8" w:rsidRPr="00ED5CD0">
        <w:rPr>
          <w:sz w:val="16"/>
          <w:szCs w:val="16"/>
        </w:rPr>
        <w:t>“DryadLINQ: A System for General-Purpose Distributed Data-Parallel Computing Using a</w:t>
      </w:r>
      <w:r w:rsidR="003B6BF1" w:rsidRPr="00ED5CD0">
        <w:rPr>
          <w:sz w:val="16"/>
          <w:szCs w:val="16"/>
        </w:rPr>
        <w:t xml:space="preserve"> High-Level Language,” OSDI Symposium</w:t>
      </w:r>
      <w:r w:rsidR="000479C8" w:rsidRPr="00ED5CD0">
        <w:rPr>
          <w:sz w:val="16"/>
          <w:szCs w:val="16"/>
        </w:rPr>
        <w:t xml:space="preserve"> CA, December 8-10, 2008.</w:t>
      </w:r>
      <w:bookmarkStart w:id="1" w:name="_Ref237425180"/>
      <w:bookmarkEnd w:id="0"/>
      <w:r w:rsidRPr="00ED5CD0">
        <w:rPr>
          <w:sz w:val="16"/>
          <w:szCs w:val="16"/>
        </w:rPr>
        <w:br/>
      </w:r>
      <w:proofErr w:type="gramStart"/>
      <w:r w:rsidRPr="00ED5CD0">
        <w:rPr>
          <w:sz w:val="16"/>
          <w:szCs w:val="16"/>
        </w:rPr>
        <w:t>[</w:t>
      </w:r>
      <w:r w:rsidR="00F12220">
        <w:rPr>
          <w:sz w:val="16"/>
          <w:szCs w:val="16"/>
        </w:rPr>
        <w:t>2</w:t>
      </w:r>
      <w:r w:rsidRPr="00ED5CD0">
        <w:rPr>
          <w:sz w:val="16"/>
          <w:szCs w:val="16"/>
        </w:rPr>
        <w:t xml:space="preserve">] </w:t>
      </w:r>
      <w:r w:rsidR="006B7FAE" w:rsidRPr="00ED5CD0">
        <w:rPr>
          <w:sz w:val="16"/>
          <w:szCs w:val="16"/>
        </w:rPr>
        <w:t>J. Ekanayake and S. Pallickara, “MapReduce for Data</w:t>
      </w:r>
      <w:r w:rsidRPr="00ED5CD0">
        <w:rPr>
          <w:sz w:val="16"/>
          <w:szCs w:val="16"/>
        </w:rPr>
        <w:t xml:space="preserve"> </w:t>
      </w:r>
      <w:r w:rsidR="006B7FAE" w:rsidRPr="00ED5CD0">
        <w:rPr>
          <w:sz w:val="16"/>
          <w:szCs w:val="16"/>
        </w:rPr>
        <w:t>Intensive Scientific Analysis,” Fourth IEEE International Conference on eScience, 2008, pp.277-284.</w:t>
      </w:r>
      <w:bookmarkEnd w:id="1"/>
      <w:proofErr w:type="gramEnd"/>
    </w:p>
    <w:p w:rsidR="000479C8" w:rsidRPr="00ED5CD0" w:rsidRDefault="00ED5CD0" w:rsidP="000746B6">
      <w:pPr>
        <w:pStyle w:val="ListParagraph"/>
        <w:tabs>
          <w:tab w:val="left" w:pos="360"/>
        </w:tabs>
        <w:autoSpaceDE w:val="0"/>
        <w:autoSpaceDN w:val="0"/>
        <w:adjustRightInd w:val="0"/>
        <w:spacing w:after="40" w:line="480" w:lineRule="auto"/>
        <w:ind w:left="0"/>
        <w:rPr>
          <w:sz w:val="16"/>
          <w:szCs w:val="16"/>
        </w:rPr>
      </w:pPr>
      <w:bookmarkStart w:id="2" w:name="_Ref237425751"/>
      <w:r w:rsidRPr="00ED5CD0">
        <w:rPr>
          <w:sz w:val="16"/>
          <w:szCs w:val="16"/>
        </w:rPr>
        <w:t>[</w:t>
      </w:r>
      <w:r w:rsidR="00F12220">
        <w:rPr>
          <w:sz w:val="16"/>
          <w:szCs w:val="16"/>
        </w:rPr>
        <w:t>3</w:t>
      </w:r>
      <w:r w:rsidRPr="00ED5CD0">
        <w:rPr>
          <w:sz w:val="16"/>
          <w:szCs w:val="16"/>
        </w:rPr>
        <w:t>]</w:t>
      </w:r>
      <w:r w:rsidR="000479C8" w:rsidRPr="00ED5CD0">
        <w:rPr>
          <w:sz w:val="16"/>
          <w:szCs w:val="16"/>
        </w:rPr>
        <w:t xml:space="preserve">X. Huang and A. </w:t>
      </w:r>
      <w:proofErr w:type="spellStart"/>
      <w:r w:rsidR="000479C8" w:rsidRPr="00ED5CD0">
        <w:rPr>
          <w:sz w:val="16"/>
          <w:szCs w:val="16"/>
        </w:rPr>
        <w:t>Madan</w:t>
      </w:r>
      <w:proofErr w:type="spellEnd"/>
      <w:r w:rsidR="000479C8" w:rsidRPr="00ED5CD0">
        <w:rPr>
          <w:sz w:val="16"/>
          <w:szCs w:val="16"/>
        </w:rPr>
        <w:t>, “CAP3: A DNA Se</w:t>
      </w:r>
      <w:r w:rsidR="003B6BF1" w:rsidRPr="00ED5CD0">
        <w:rPr>
          <w:sz w:val="16"/>
          <w:szCs w:val="16"/>
        </w:rPr>
        <w:t xml:space="preserve">quence Assembly Program,” Genome Research, </w:t>
      </w:r>
      <w:r w:rsidR="000479C8" w:rsidRPr="00ED5CD0">
        <w:rPr>
          <w:sz w:val="16"/>
          <w:szCs w:val="16"/>
        </w:rPr>
        <w:t>9</w:t>
      </w:r>
      <w:proofErr w:type="gramStart"/>
      <w:r w:rsidR="000479C8" w:rsidRPr="00ED5CD0">
        <w:rPr>
          <w:sz w:val="16"/>
          <w:szCs w:val="16"/>
        </w:rPr>
        <w:t>,.</w:t>
      </w:r>
      <w:proofErr w:type="gramEnd"/>
      <w:r w:rsidR="000479C8" w:rsidRPr="00ED5CD0">
        <w:rPr>
          <w:sz w:val="16"/>
          <w:szCs w:val="16"/>
        </w:rPr>
        <w:t xml:space="preserve"> </w:t>
      </w:r>
      <w:proofErr w:type="gramStart"/>
      <w:r w:rsidR="000479C8" w:rsidRPr="00ED5CD0">
        <w:rPr>
          <w:sz w:val="16"/>
          <w:szCs w:val="16"/>
        </w:rPr>
        <w:t>868-877, 1999.</w:t>
      </w:r>
      <w:bookmarkEnd w:id="2"/>
      <w:proofErr w:type="gramEnd"/>
    </w:p>
    <w:p w:rsidR="000479C8" w:rsidRPr="00ED5CD0" w:rsidRDefault="006B7FAE" w:rsidP="000746B6">
      <w:pPr>
        <w:pStyle w:val="References"/>
        <w:spacing w:line="480" w:lineRule="auto"/>
        <w:rPr>
          <w:sz w:val="16"/>
          <w:szCs w:val="16"/>
        </w:rPr>
      </w:pPr>
      <w:r w:rsidRPr="00ED5CD0">
        <w:rPr>
          <w:sz w:val="16"/>
          <w:szCs w:val="16"/>
        </w:rPr>
        <w:t>[</w:t>
      </w:r>
      <w:r w:rsidR="00F12220">
        <w:rPr>
          <w:sz w:val="16"/>
          <w:szCs w:val="16"/>
        </w:rPr>
        <w:t>4</w:t>
      </w:r>
      <w:r w:rsidR="000479C8" w:rsidRPr="00ED5CD0">
        <w:rPr>
          <w:sz w:val="16"/>
          <w:szCs w:val="16"/>
        </w:rPr>
        <w:t xml:space="preserve">] T Hofmann, JM </w:t>
      </w:r>
      <w:proofErr w:type="spellStart"/>
      <w:r w:rsidR="000479C8" w:rsidRPr="00ED5CD0">
        <w:rPr>
          <w:sz w:val="16"/>
          <w:szCs w:val="16"/>
        </w:rPr>
        <w:t>Buhmann</w:t>
      </w:r>
      <w:proofErr w:type="spellEnd"/>
      <w:r w:rsidR="000479C8" w:rsidRPr="00ED5CD0">
        <w:rPr>
          <w:sz w:val="16"/>
          <w:szCs w:val="16"/>
        </w:rPr>
        <w:t xml:space="preserve">, “Pairwise data clustering by deterministic annealing”, </w:t>
      </w:r>
      <w:r w:rsidR="000479C8" w:rsidRPr="00ED5CD0">
        <w:rPr>
          <w:i/>
          <w:sz w:val="16"/>
          <w:szCs w:val="16"/>
        </w:rPr>
        <w:t>IEEE Transactions on Pattern Analysis and Machine Intelligence 19</w:t>
      </w:r>
      <w:r w:rsidR="000479C8" w:rsidRPr="00ED5CD0">
        <w:rPr>
          <w:sz w:val="16"/>
          <w:szCs w:val="16"/>
        </w:rPr>
        <w:t>, pp1-13 1997.</w:t>
      </w:r>
    </w:p>
    <w:p w:rsidR="00B51C4C" w:rsidRPr="00ED5CD0" w:rsidRDefault="006B7FAE" w:rsidP="000746B6">
      <w:pPr>
        <w:pStyle w:val="References"/>
        <w:spacing w:line="480" w:lineRule="auto"/>
        <w:rPr>
          <w:sz w:val="16"/>
          <w:szCs w:val="16"/>
        </w:rPr>
      </w:pPr>
      <w:r w:rsidRPr="00ED5CD0">
        <w:rPr>
          <w:sz w:val="16"/>
          <w:szCs w:val="16"/>
        </w:rPr>
        <w:t xml:space="preserve"> </w:t>
      </w:r>
      <w:proofErr w:type="gramStart"/>
      <w:r w:rsidRPr="00ED5CD0">
        <w:rPr>
          <w:sz w:val="16"/>
          <w:szCs w:val="16"/>
        </w:rPr>
        <w:t>[</w:t>
      </w:r>
      <w:r w:rsidR="00F12220">
        <w:rPr>
          <w:sz w:val="16"/>
          <w:szCs w:val="16"/>
        </w:rPr>
        <w:t>5</w:t>
      </w:r>
      <w:r w:rsidR="000479C8" w:rsidRPr="00ED5CD0">
        <w:rPr>
          <w:sz w:val="16"/>
          <w:szCs w:val="16"/>
        </w:rPr>
        <w:t xml:space="preserve">] </w:t>
      </w:r>
      <w:r w:rsidR="003B6BF1" w:rsidRPr="00ED5CD0">
        <w:rPr>
          <w:sz w:val="16"/>
          <w:szCs w:val="16"/>
        </w:rPr>
        <w:t>Geoffrey Fox et al.</w:t>
      </w:r>
      <w:r w:rsidR="000479C8" w:rsidRPr="00ED5CD0">
        <w:rPr>
          <w:sz w:val="16"/>
          <w:szCs w:val="16"/>
        </w:rPr>
        <w:t xml:space="preserve">, “Parallel Data Mining from Multicore to Cloudy Grids”, </w:t>
      </w:r>
      <w:r w:rsidR="003B6BF1" w:rsidRPr="00ED5CD0">
        <w:rPr>
          <w:i/>
          <w:sz w:val="16"/>
          <w:szCs w:val="16"/>
        </w:rPr>
        <w:t>Proceeding</w:t>
      </w:r>
      <w:r w:rsidR="000479C8" w:rsidRPr="00ED5CD0">
        <w:rPr>
          <w:i/>
          <w:sz w:val="16"/>
          <w:szCs w:val="16"/>
        </w:rPr>
        <w:t>s of HPC 2008</w:t>
      </w:r>
      <w:r w:rsidR="003B6BF1" w:rsidRPr="00ED5CD0">
        <w:rPr>
          <w:sz w:val="16"/>
          <w:szCs w:val="16"/>
        </w:rPr>
        <w:t xml:space="preserve"> </w:t>
      </w:r>
      <w:r w:rsidR="000479C8" w:rsidRPr="00ED5CD0">
        <w:rPr>
          <w:i/>
          <w:sz w:val="16"/>
          <w:szCs w:val="16"/>
        </w:rPr>
        <w:t>Workshop</w:t>
      </w:r>
      <w:r w:rsidR="000479C8" w:rsidRPr="00ED5CD0">
        <w:rPr>
          <w:sz w:val="16"/>
          <w:szCs w:val="16"/>
        </w:rPr>
        <w:t xml:space="preserve">, </w:t>
      </w:r>
      <w:proofErr w:type="spellStart"/>
      <w:r w:rsidR="000479C8" w:rsidRPr="00ED5CD0">
        <w:rPr>
          <w:sz w:val="16"/>
          <w:szCs w:val="16"/>
        </w:rPr>
        <w:t>Cetraro</w:t>
      </w:r>
      <w:proofErr w:type="spellEnd"/>
      <w:r w:rsidR="000479C8" w:rsidRPr="00ED5CD0">
        <w:rPr>
          <w:sz w:val="16"/>
          <w:szCs w:val="16"/>
        </w:rPr>
        <w:t xml:space="preserve"> Italy, July 3 2008.</w:t>
      </w:r>
      <w:proofErr w:type="gramEnd"/>
    </w:p>
    <w:sectPr w:rsidR="00B51C4C" w:rsidRPr="00ED5CD0" w:rsidSect="007F49D4">
      <w:type w:val="continuous"/>
      <w:pgSz w:w="12240" w:h="15840"/>
      <w:pgMar w:top="1440" w:right="1440" w:bottom="1728" w:left="1440" w:header="720" w:footer="720" w:gutter="0"/>
      <w:cols w:num="2" w:space="46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2DC"/>
    <w:multiLevelType w:val="hybridMultilevel"/>
    <w:tmpl w:val="67EC346E"/>
    <w:lvl w:ilvl="0" w:tplc="D1EE28B6">
      <w:start w:val="1"/>
      <w:numFmt w:val="decimal"/>
      <w:pStyle w:val="Graphs"/>
      <w:lvlText w:val="Figure %1."/>
      <w:lvlJc w:val="left"/>
      <w:pPr>
        <w:ind w:left="720" w:firstLine="0"/>
      </w:pPr>
      <w:rPr>
        <w:rFonts w:ascii="Calibri" w:hAnsi="Calibri" w:hint="default"/>
        <w:spacing w:val="0"/>
        <w:w w:val="100"/>
        <w:position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2629AB"/>
    <w:multiLevelType w:val="hybridMultilevel"/>
    <w:tmpl w:val="86EECA96"/>
    <w:lvl w:ilvl="0" w:tplc="9476E212">
      <w:start w:val="1"/>
      <w:numFmt w:val="decimal"/>
      <w:suff w:val="space"/>
      <w:lvlText w:val="[%1]"/>
      <w:lvlJc w:val="left"/>
      <w:pPr>
        <w:ind w:left="1098" w:hanging="288"/>
      </w:pPr>
      <w:rPr>
        <w:rFonts w:hint="default"/>
        <w:sz w:val="18"/>
        <w:szCs w:val="18"/>
      </w:rPr>
    </w:lvl>
    <w:lvl w:ilvl="1" w:tplc="04090019" w:tentative="1">
      <w:start w:val="1"/>
      <w:numFmt w:val="lowerLetter"/>
      <w:lvlText w:val="%2."/>
      <w:lvlJc w:val="left"/>
      <w:pPr>
        <w:ind w:left="2063" w:hanging="360"/>
      </w:pPr>
    </w:lvl>
    <w:lvl w:ilvl="2" w:tplc="0409001B" w:tentative="1">
      <w:start w:val="1"/>
      <w:numFmt w:val="lowerRoman"/>
      <w:lvlText w:val="%3."/>
      <w:lvlJc w:val="right"/>
      <w:pPr>
        <w:ind w:left="2783" w:hanging="180"/>
      </w:pPr>
    </w:lvl>
    <w:lvl w:ilvl="3" w:tplc="0409000F" w:tentative="1">
      <w:start w:val="1"/>
      <w:numFmt w:val="decimal"/>
      <w:lvlText w:val="%4."/>
      <w:lvlJc w:val="left"/>
      <w:pPr>
        <w:ind w:left="3503" w:hanging="360"/>
      </w:pPr>
    </w:lvl>
    <w:lvl w:ilvl="4" w:tplc="04090019" w:tentative="1">
      <w:start w:val="1"/>
      <w:numFmt w:val="lowerLetter"/>
      <w:lvlText w:val="%5."/>
      <w:lvlJc w:val="left"/>
      <w:pPr>
        <w:ind w:left="4223" w:hanging="360"/>
      </w:pPr>
    </w:lvl>
    <w:lvl w:ilvl="5" w:tplc="0409001B" w:tentative="1">
      <w:start w:val="1"/>
      <w:numFmt w:val="lowerRoman"/>
      <w:lvlText w:val="%6."/>
      <w:lvlJc w:val="right"/>
      <w:pPr>
        <w:ind w:left="4943" w:hanging="180"/>
      </w:pPr>
    </w:lvl>
    <w:lvl w:ilvl="6" w:tplc="0409000F" w:tentative="1">
      <w:start w:val="1"/>
      <w:numFmt w:val="decimal"/>
      <w:lvlText w:val="%7."/>
      <w:lvlJc w:val="left"/>
      <w:pPr>
        <w:ind w:left="5663" w:hanging="360"/>
      </w:pPr>
    </w:lvl>
    <w:lvl w:ilvl="7" w:tplc="04090019" w:tentative="1">
      <w:start w:val="1"/>
      <w:numFmt w:val="lowerLetter"/>
      <w:lvlText w:val="%8."/>
      <w:lvlJc w:val="left"/>
      <w:pPr>
        <w:ind w:left="6383" w:hanging="360"/>
      </w:pPr>
    </w:lvl>
    <w:lvl w:ilvl="8" w:tplc="0409001B" w:tentative="1">
      <w:start w:val="1"/>
      <w:numFmt w:val="lowerRoman"/>
      <w:lvlText w:val="%9."/>
      <w:lvlJc w:val="right"/>
      <w:pPr>
        <w:ind w:left="7103" w:hanging="180"/>
      </w:pPr>
    </w:lvl>
  </w:abstractNum>
  <w:num w:numId="1">
    <w:abstractNumId w:val="0"/>
    <w:lvlOverride w:ilvl="0">
      <w:lvl w:ilvl="0" w:tplc="D1EE28B6">
        <w:start w:val="1"/>
        <w:numFmt w:val="decimal"/>
        <w:pStyle w:val="Graphs"/>
        <w:suff w:val="space"/>
        <w:lvlText w:val="Figure %1."/>
        <w:lvlJc w:val="left"/>
        <w:pPr>
          <w:ind w:left="180" w:firstLine="0"/>
        </w:pPr>
        <w:rPr>
          <w:rFonts w:ascii="Calibri" w:hAnsi="Calibri" w:hint="default"/>
          <w:spacing w:val="0"/>
          <w:w w:val="100"/>
          <w:position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479C8"/>
    <w:rsid w:val="00046FDD"/>
    <w:rsid w:val="000479C8"/>
    <w:rsid w:val="000746B6"/>
    <w:rsid w:val="00121DF3"/>
    <w:rsid w:val="002255D4"/>
    <w:rsid w:val="003B6BF1"/>
    <w:rsid w:val="004C2B26"/>
    <w:rsid w:val="005223A3"/>
    <w:rsid w:val="0055064B"/>
    <w:rsid w:val="00567FB9"/>
    <w:rsid w:val="006663D3"/>
    <w:rsid w:val="006B7FAE"/>
    <w:rsid w:val="00780868"/>
    <w:rsid w:val="007C3A3E"/>
    <w:rsid w:val="007C4A12"/>
    <w:rsid w:val="00903C36"/>
    <w:rsid w:val="00970934"/>
    <w:rsid w:val="00994B22"/>
    <w:rsid w:val="00B3180F"/>
    <w:rsid w:val="00BB3D47"/>
    <w:rsid w:val="00BB43B0"/>
    <w:rsid w:val="00C476FB"/>
    <w:rsid w:val="00D21F22"/>
    <w:rsid w:val="00E417B2"/>
    <w:rsid w:val="00EC09A9"/>
    <w:rsid w:val="00ED5CD0"/>
    <w:rsid w:val="00F12220"/>
    <w:rsid w:val="00F5295D"/>
    <w:rsid w:val="00F64CA3"/>
    <w:rsid w:val="00F71EC4"/>
    <w:rsid w:val="00FF2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C8"/>
    <w:pPr>
      <w:spacing w:after="0" w:line="240" w:lineRule="auto"/>
      <w:jc w:val="both"/>
    </w:pPr>
    <w:rPr>
      <w:rFonts w:ascii="Times New Roman" w:eastAsia="Batang" w:hAnsi="Times New Roman" w:cs="Times New Roman"/>
      <w:sz w:val="20"/>
      <w:szCs w:val="20"/>
    </w:rPr>
  </w:style>
  <w:style w:type="paragraph" w:styleId="Heading1">
    <w:name w:val="heading 1"/>
    <w:basedOn w:val="Normal"/>
    <w:next w:val="Normal"/>
    <w:link w:val="Heading1Char"/>
    <w:qFormat/>
    <w:rsid w:val="000479C8"/>
    <w:pPr>
      <w:keepNext/>
      <w:outlineLvl w:val="0"/>
    </w:pPr>
    <w:rPr>
      <w:b/>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9C8"/>
    <w:rPr>
      <w:rFonts w:ascii="Times New Roman" w:eastAsia="Batang" w:hAnsi="Times New Roman" w:cs="Times New Roman"/>
      <w:b/>
      <w:kern w:val="28"/>
      <w:sz w:val="24"/>
      <w:szCs w:val="20"/>
    </w:rPr>
  </w:style>
  <w:style w:type="character" w:styleId="Hyperlink">
    <w:name w:val="Hyperlink"/>
    <w:basedOn w:val="DefaultParagraphFont"/>
    <w:rsid w:val="000479C8"/>
    <w:rPr>
      <w:color w:val="0000FF"/>
      <w:u w:val="single"/>
    </w:rPr>
  </w:style>
  <w:style w:type="paragraph" w:styleId="BodyTextIndent">
    <w:name w:val="Body Text Indent"/>
    <w:basedOn w:val="Normal"/>
    <w:link w:val="BodyTextIndentChar"/>
    <w:rsid w:val="000479C8"/>
    <w:pPr>
      <w:ind w:firstLine="245"/>
    </w:pPr>
  </w:style>
  <w:style w:type="character" w:customStyle="1" w:styleId="BodyTextIndentChar">
    <w:name w:val="Body Text Indent Char"/>
    <w:basedOn w:val="DefaultParagraphFont"/>
    <w:link w:val="BodyTextIndent"/>
    <w:rsid w:val="000479C8"/>
    <w:rPr>
      <w:rFonts w:ascii="Times New Roman" w:eastAsia="Batang" w:hAnsi="Times New Roman" w:cs="Times New Roman"/>
      <w:sz w:val="20"/>
      <w:szCs w:val="20"/>
    </w:rPr>
  </w:style>
  <w:style w:type="paragraph" w:customStyle="1" w:styleId="References">
    <w:name w:val="References"/>
    <w:basedOn w:val="Normal"/>
    <w:rsid w:val="000479C8"/>
    <w:rPr>
      <w:sz w:val="18"/>
    </w:rPr>
  </w:style>
  <w:style w:type="paragraph" w:customStyle="1" w:styleId="Author">
    <w:name w:val="Author"/>
    <w:basedOn w:val="Normal"/>
    <w:rsid w:val="000479C8"/>
    <w:pPr>
      <w:jc w:val="center"/>
    </w:pPr>
    <w:rPr>
      <w:sz w:val="24"/>
    </w:rPr>
  </w:style>
  <w:style w:type="paragraph" w:styleId="Title">
    <w:name w:val="Title"/>
    <w:basedOn w:val="Normal"/>
    <w:link w:val="TitleChar"/>
    <w:qFormat/>
    <w:rsid w:val="000479C8"/>
    <w:pPr>
      <w:spacing w:before="480"/>
      <w:jc w:val="center"/>
    </w:pPr>
    <w:rPr>
      <w:b/>
      <w:sz w:val="28"/>
    </w:rPr>
  </w:style>
  <w:style w:type="character" w:customStyle="1" w:styleId="TitleChar">
    <w:name w:val="Title Char"/>
    <w:basedOn w:val="DefaultParagraphFont"/>
    <w:link w:val="Title"/>
    <w:rsid w:val="000479C8"/>
    <w:rPr>
      <w:rFonts w:ascii="Times New Roman" w:eastAsia="Batang" w:hAnsi="Times New Roman" w:cs="Times New Roman"/>
      <w:b/>
      <w:sz w:val="28"/>
      <w:szCs w:val="20"/>
    </w:rPr>
  </w:style>
  <w:style w:type="paragraph" w:customStyle="1" w:styleId="AbstractText">
    <w:name w:val="Abstract Text"/>
    <w:basedOn w:val="BodyTextIndent2"/>
    <w:rsid w:val="000479C8"/>
    <w:pPr>
      <w:spacing w:after="0" w:line="240" w:lineRule="auto"/>
      <w:ind w:left="0" w:firstLine="245"/>
    </w:pPr>
    <w:rPr>
      <w:i/>
    </w:rPr>
  </w:style>
  <w:style w:type="paragraph" w:customStyle="1" w:styleId="Affiliation">
    <w:name w:val="Affiliation"/>
    <w:basedOn w:val="Normal"/>
    <w:rsid w:val="000479C8"/>
    <w:pPr>
      <w:jc w:val="center"/>
    </w:pPr>
    <w:rPr>
      <w:i/>
      <w:sz w:val="24"/>
    </w:rPr>
  </w:style>
  <w:style w:type="paragraph" w:customStyle="1" w:styleId="AbstractTitle">
    <w:name w:val="Abstract Title"/>
    <w:basedOn w:val="Normal"/>
    <w:rsid w:val="000479C8"/>
    <w:pPr>
      <w:jc w:val="center"/>
    </w:pPr>
    <w:rPr>
      <w:b/>
      <w:sz w:val="24"/>
    </w:rPr>
  </w:style>
  <w:style w:type="paragraph" w:customStyle="1" w:styleId="CaptionLong">
    <w:name w:val="CaptionLong"/>
    <w:basedOn w:val="Normal"/>
    <w:rsid w:val="000479C8"/>
    <w:pPr>
      <w:spacing w:before="80" w:after="80"/>
    </w:pPr>
    <w:rPr>
      <w:rFonts w:eastAsia="MS Mincho"/>
      <w:sz w:val="16"/>
      <w:szCs w:val="24"/>
      <w:lang w:eastAsia="ja-JP"/>
    </w:rPr>
  </w:style>
  <w:style w:type="paragraph" w:styleId="NoSpacing">
    <w:name w:val="No Spacing"/>
    <w:link w:val="NoSpacingChar"/>
    <w:uiPriority w:val="1"/>
    <w:qFormat/>
    <w:rsid w:val="000479C8"/>
    <w:pPr>
      <w:spacing w:after="0" w:line="240" w:lineRule="auto"/>
      <w:jc w:val="both"/>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0479C8"/>
    <w:rPr>
      <w:rFonts w:ascii="Times New Roman" w:eastAsia="Times New Roman" w:hAnsi="Times New Roman" w:cs="Times New Roman"/>
      <w:sz w:val="20"/>
      <w:szCs w:val="20"/>
    </w:rPr>
  </w:style>
  <w:style w:type="paragraph" w:customStyle="1" w:styleId="Graphs">
    <w:name w:val="Graphs"/>
    <w:basedOn w:val="NoSpacing"/>
    <w:link w:val="GraphsChar"/>
    <w:qFormat/>
    <w:rsid w:val="000479C8"/>
    <w:pPr>
      <w:numPr>
        <w:numId w:val="1"/>
      </w:numPr>
      <w:tabs>
        <w:tab w:val="left" w:pos="270"/>
      </w:tabs>
      <w:spacing w:before="80" w:after="80"/>
      <w:ind w:left="0"/>
      <w:jc w:val="left"/>
    </w:pPr>
    <w:rPr>
      <w:rFonts w:ascii="Calibri" w:hAnsi="Calibri" w:cs="Arial"/>
      <w:b/>
    </w:rPr>
  </w:style>
  <w:style w:type="character" w:customStyle="1" w:styleId="GraphsChar">
    <w:name w:val="Graphs Char"/>
    <w:basedOn w:val="NoSpacingChar"/>
    <w:link w:val="Graphs"/>
    <w:rsid w:val="000479C8"/>
    <w:rPr>
      <w:rFonts w:ascii="Calibri" w:hAnsi="Calibri" w:cs="Arial"/>
      <w:b/>
    </w:rPr>
  </w:style>
  <w:style w:type="paragraph" w:styleId="ListParagraph">
    <w:name w:val="List Paragraph"/>
    <w:basedOn w:val="Normal"/>
    <w:uiPriority w:val="99"/>
    <w:qFormat/>
    <w:rsid w:val="000479C8"/>
    <w:pPr>
      <w:ind w:left="720"/>
    </w:pPr>
    <w:rPr>
      <w:rFonts w:eastAsia="Times New Roman"/>
    </w:rPr>
  </w:style>
  <w:style w:type="paragraph" w:styleId="BodyTextIndent2">
    <w:name w:val="Body Text Indent 2"/>
    <w:basedOn w:val="Normal"/>
    <w:link w:val="BodyTextIndent2Char"/>
    <w:uiPriority w:val="99"/>
    <w:semiHidden/>
    <w:unhideWhenUsed/>
    <w:rsid w:val="000479C8"/>
    <w:pPr>
      <w:spacing w:after="120" w:line="480" w:lineRule="auto"/>
      <w:ind w:left="360"/>
    </w:pPr>
  </w:style>
  <w:style w:type="character" w:customStyle="1" w:styleId="BodyTextIndent2Char">
    <w:name w:val="Body Text Indent 2 Char"/>
    <w:basedOn w:val="DefaultParagraphFont"/>
    <w:link w:val="BodyTextIndent2"/>
    <w:uiPriority w:val="99"/>
    <w:semiHidden/>
    <w:rsid w:val="000479C8"/>
    <w:rPr>
      <w:rFonts w:ascii="Times New Roman" w:eastAsia="Batang" w:hAnsi="Times New Roman" w:cs="Times New Roman"/>
      <w:sz w:val="20"/>
      <w:szCs w:val="20"/>
    </w:rPr>
  </w:style>
  <w:style w:type="paragraph" w:styleId="BalloonText">
    <w:name w:val="Balloon Text"/>
    <w:basedOn w:val="Normal"/>
    <w:link w:val="BalloonTextChar"/>
    <w:uiPriority w:val="99"/>
    <w:semiHidden/>
    <w:unhideWhenUsed/>
    <w:rsid w:val="000479C8"/>
    <w:rPr>
      <w:rFonts w:ascii="Tahoma" w:hAnsi="Tahoma" w:cs="Tahoma"/>
      <w:sz w:val="16"/>
      <w:szCs w:val="16"/>
    </w:rPr>
  </w:style>
  <w:style w:type="character" w:customStyle="1" w:styleId="BalloonTextChar">
    <w:name w:val="Balloon Text Char"/>
    <w:basedOn w:val="DefaultParagraphFont"/>
    <w:link w:val="BalloonText"/>
    <w:uiPriority w:val="99"/>
    <w:semiHidden/>
    <w:rsid w:val="000479C8"/>
    <w:rPr>
      <w:rFonts w:ascii="Tahoma" w:eastAsia="Batang"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jaliya</dc:creator>
  <cp:lastModifiedBy> </cp:lastModifiedBy>
  <cp:revision>5</cp:revision>
  <cp:lastPrinted>2009-08-13T11:59:00Z</cp:lastPrinted>
  <dcterms:created xsi:type="dcterms:W3CDTF">2009-08-13T17:14:00Z</dcterms:created>
  <dcterms:modified xsi:type="dcterms:W3CDTF">2009-09-18T13:30:00Z</dcterms:modified>
</cp:coreProperties>
</file>