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F8" w:rsidRDefault="00035148" w:rsidP="000C5AD6">
      <w:pPr>
        <w:pStyle w:val="MyTitle"/>
      </w:pPr>
      <w:r w:rsidRPr="00A25B13">
        <w:t>O</w:t>
      </w:r>
      <w:bookmarkStart w:id="0" w:name="_Ref99106602"/>
      <w:bookmarkStart w:id="1" w:name="_Ref99106702"/>
      <w:bookmarkStart w:id="2" w:name="_Ref99106720"/>
      <w:bookmarkStart w:id="3" w:name="_Ref99106922"/>
      <w:bookmarkStart w:id="4" w:name="_Ref99107513"/>
      <w:bookmarkStart w:id="5" w:name="_Ref99107960"/>
      <w:bookmarkEnd w:id="0"/>
      <w:bookmarkEnd w:id="1"/>
      <w:bookmarkEnd w:id="2"/>
      <w:bookmarkEnd w:id="3"/>
      <w:bookmarkEnd w:id="4"/>
      <w:bookmarkEnd w:id="5"/>
      <w:r w:rsidRPr="00A25B13">
        <w:t>pen Grid Computing Environments</w:t>
      </w:r>
    </w:p>
    <w:p w:rsidR="001A3F5F" w:rsidRDefault="005C0002" w:rsidP="00F20AB2">
      <w:pPr>
        <w:jc w:val="center"/>
        <w:rPr>
          <w:vertAlign w:val="superscript"/>
        </w:rPr>
      </w:pPr>
      <w:r>
        <w:t xml:space="preserve">Marlon </w:t>
      </w:r>
      <w:r w:rsidR="005335F8">
        <w:t>Pierce</w:t>
      </w:r>
      <w:r w:rsidR="005335F8">
        <w:rPr>
          <w:vertAlign w:val="superscript"/>
        </w:rPr>
        <w:t>1</w:t>
      </w:r>
      <w:r w:rsidR="005335F8">
        <w:t>, Suresh Marru</w:t>
      </w:r>
      <w:r w:rsidR="005335F8">
        <w:rPr>
          <w:vertAlign w:val="superscript"/>
        </w:rPr>
        <w:t>2</w:t>
      </w:r>
      <w:r w:rsidR="006C0023">
        <w:t xml:space="preserve">, </w:t>
      </w:r>
      <w:proofErr w:type="spellStart"/>
      <w:r w:rsidR="006C0023">
        <w:t>Wenjun</w:t>
      </w:r>
      <w:proofErr w:type="spellEnd"/>
      <w:r w:rsidR="006C0023">
        <w:t xml:space="preserve"> Wu</w:t>
      </w:r>
      <w:r w:rsidR="00780A56">
        <w:rPr>
          <w:vertAlign w:val="superscript"/>
        </w:rPr>
        <w:t>3</w:t>
      </w:r>
      <w:r w:rsidR="00780A56">
        <w:t xml:space="preserve">, </w:t>
      </w:r>
      <w:proofErr w:type="spellStart"/>
      <w:r w:rsidR="00780A56">
        <w:t>Gopi</w:t>
      </w:r>
      <w:proofErr w:type="spellEnd"/>
      <w:r w:rsidR="00780A56">
        <w:t xml:space="preserve"> Kandaswami</w:t>
      </w:r>
      <w:r w:rsidR="008F03BF">
        <w:rPr>
          <w:vertAlign w:val="superscript"/>
        </w:rPr>
        <w:t>4</w:t>
      </w:r>
      <w:r w:rsidR="00780A56">
        <w:t xml:space="preserve">, </w:t>
      </w:r>
      <w:proofErr w:type="spellStart"/>
      <w:r w:rsidR="00780A56">
        <w:t>Gregor</w:t>
      </w:r>
      <w:proofErr w:type="spellEnd"/>
      <w:r w:rsidR="00780A56">
        <w:t xml:space="preserve"> v</w:t>
      </w:r>
      <w:r w:rsidR="005628A1">
        <w:t>o</w:t>
      </w:r>
      <w:r w:rsidR="00780A56">
        <w:t>n Laszewski</w:t>
      </w:r>
      <w:r w:rsidR="008F03BF">
        <w:rPr>
          <w:vertAlign w:val="superscript"/>
        </w:rPr>
        <w:t>5</w:t>
      </w:r>
      <w:r w:rsidR="008F03BF">
        <w:t xml:space="preserve">, </w:t>
      </w:r>
      <w:proofErr w:type="spellStart"/>
      <w:r w:rsidR="008F03BF">
        <w:t>Rion</w:t>
      </w:r>
      <w:proofErr w:type="spellEnd"/>
      <w:r w:rsidR="008F03BF">
        <w:t xml:space="preserve"> Dooley</w:t>
      </w:r>
      <w:r w:rsidR="008F03BF">
        <w:rPr>
          <w:vertAlign w:val="superscript"/>
        </w:rPr>
        <w:t>6</w:t>
      </w:r>
      <w:r w:rsidR="008F03BF">
        <w:t xml:space="preserve">, </w:t>
      </w:r>
      <w:proofErr w:type="spellStart"/>
      <w:r w:rsidR="008F03BF">
        <w:t>Maytal</w:t>
      </w:r>
      <w:proofErr w:type="spellEnd"/>
      <w:r w:rsidR="008F03BF">
        <w:t xml:space="preserve"> Dahan</w:t>
      </w:r>
      <w:r w:rsidR="008F03BF">
        <w:rPr>
          <w:vertAlign w:val="superscript"/>
        </w:rPr>
        <w:t>6</w:t>
      </w:r>
      <w:r w:rsidR="008F03BF">
        <w:t>, Nancy Wilkins-Diehr</w:t>
      </w:r>
      <w:r w:rsidR="008F03BF">
        <w:rPr>
          <w:vertAlign w:val="superscript"/>
        </w:rPr>
        <w:t>7</w:t>
      </w:r>
      <w:r w:rsidR="008F03BF">
        <w:t>, Mary Thomas</w:t>
      </w:r>
      <w:r w:rsidR="008F03BF">
        <w:rPr>
          <w:vertAlign w:val="superscript"/>
        </w:rPr>
        <w:t>8</w:t>
      </w:r>
    </w:p>
    <w:p w:rsidR="005335F8" w:rsidRPr="008F03BF" w:rsidRDefault="005335F8" w:rsidP="005335F8"/>
    <w:p w:rsidR="005335F8" w:rsidRPr="005335F8" w:rsidRDefault="005335F8" w:rsidP="005335F8">
      <w:pPr>
        <w:pStyle w:val="Affiliation"/>
        <w:rPr>
          <w:vertAlign w:val="baseline"/>
        </w:rPr>
      </w:pPr>
      <w:r w:rsidRPr="005335F8">
        <w:t>1</w:t>
      </w:r>
      <w:r>
        <w:t xml:space="preserve"> </w:t>
      </w:r>
      <w:r w:rsidRPr="005335F8">
        <w:rPr>
          <w:vertAlign w:val="baseline"/>
        </w:rPr>
        <w:t>Community Grids Laboratory, Digital Science Institute, Indiana University, Bloomington, IN 47404</w:t>
      </w:r>
    </w:p>
    <w:p w:rsidR="006C0023" w:rsidRDefault="005335F8" w:rsidP="005335F8">
      <w:pPr>
        <w:pStyle w:val="Affiliation"/>
        <w:rPr>
          <w:vertAlign w:val="baseline"/>
        </w:rPr>
      </w:pPr>
      <w:r w:rsidRPr="005335F8">
        <w:t>2</w:t>
      </w:r>
      <w:r>
        <w:t xml:space="preserve"> </w:t>
      </w:r>
      <w:r w:rsidRPr="005335F8">
        <w:rPr>
          <w:vertAlign w:val="baseline"/>
        </w:rPr>
        <w:t xml:space="preserve">Computer Science Department, Indiana </w:t>
      </w:r>
      <w:proofErr w:type="gramStart"/>
      <w:r w:rsidR="006C0023">
        <w:rPr>
          <w:vertAlign w:val="baseline"/>
        </w:rPr>
        <w:t>University</w:t>
      </w:r>
      <w:proofErr w:type="gramEnd"/>
      <w:r w:rsidRPr="005335F8">
        <w:rPr>
          <w:vertAlign w:val="baseline"/>
        </w:rPr>
        <w:t>, Bloomington, IN 47404</w:t>
      </w:r>
    </w:p>
    <w:p w:rsidR="008F03BF" w:rsidRDefault="006C0023" w:rsidP="005335F8">
      <w:pPr>
        <w:pStyle w:val="Affiliation"/>
        <w:rPr>
          <w:vertAlign w:val="baseline"/>
        </w:rPr>
      </w:pPr>
      <w:r>
        <w:t xml:space="preserve">3 </w:t>
      </w:r>
      <w:r w:rsidR="001A3F5F">
        <w:rPr>
          <w:vertAlign w:val="baseline"/>
        </w:rPr>
        <w:t>Computation Institute, U</w:t>
      </w:r>
      <w:r>
        <w:rPr>
          <w:vertAlign w:val="baseline"/>
        </w:rPr>
        <w:t>niversity of Chicago</w:t>
      </w:r>
      <w:r w:rsidR="001A3F5F">
        <w:rPr>
          <w:vertAlign w:val="baseline"/>
        </w:rPr>
        <w:t xml:space="preserve">, Chicago, IL </w:t>
      </w:r>
    </w:p>
    <w:p w:rsidR="001A3F5F" w:rsidRDefault="008F03BF" w:rsidP="005335F8">
      <w:pPr>
        <w:pStyle w:val="Affiliation"/>
        <w:rPr>
          <w:vertAlign w:val="baseline"/>
        </w:rPr>
      </w:pPr>
      <w:r>
        <w:t>4</w:t>
      </w:r>
      <w:r>
        <w:rPr>
          <w:vertAlign w:val="baseline"/>
        </w:rPr>
        <w:t xml:space="preserve"> Renaissance Computing </w:t>
      </w:r>
      <w:proofErr w:type="gramStart"/>
      <w:r w:rsidR="001A3F5F">
        <w:rPr>
          <w:vertAlign w:val="baseline"/>
        </w:rPr>
        <w:t>Institute</w:t>
      </w:r>
      <w:proofErr w:type="gramEnd"/>
      <w:r>
        <w:rPr>
          <w:vertAlign w:val="baseline"/>
        </w:rPr>
        <w:t xml:space="preserve">, </w:t>
      </w:r>
      <w:r w:rsidR="001A3F5F">
        <w:rPr>
          <w:vertAlign w:val="baseline"/>
        </w:rPr>
        <w:t>Chapel Hill, NC</w:t>
      </w:r>
    </w:p>
    <w:p w:rsidR="008F03BF" w:rsidRDefault="008F03BF" w:rsidP="005335F8">
      <w:pPr>
        <w:pStyle w:val="Affiliation"/>
        <w:rPr>
          <w:vertAlign w:val="baseline"/>
        </w:rPr>
      </w:pPr>
      <w:r>
        <w:t>5</w:t>
      </w:r>
      <w:r>
        <w:rPr>
          <w:vertAlign w:val="baseline"/>
        </w:rPr>
        <w:t xml:space="preserve"> Rochester Institute of Technology</w:t>
      </w:r>
    </w:p>
    <w:p w:rsidR="008F03BF" w:rsidRDefault="008F03BF" w:rsidP="005335F8">
      <w:pPr>
        <w:pStyle w:val="Affiliation"/>
        <w:rPr>
          <w:vertAlign w:val="baseline"/>
        </w:rPr>
      </w:pPr>
      <w:r>
        <w:t>6</w:t>
      </w:r>
      <w:r>
        <w:rPr>
          <w:vertAlign w:val="baseline"/>
        </w:rPr>
        <w:t xml:space="preserve"> Texas Advanced Computing Center, University of Texas</w:t>
      </w:r>
      <w:r w:rsidR="001A3F5F">
        <w:rPr>
          <w:vertAlign w:val="baseline"/>
        </w:rPr>
        <w:t>, Austin TX</w:t>
      </w:r>
    </w:p>
    <w:p w:rsidR="008F03BF" w:rsidRDefault="008F03BF" w:rsidP="005335F8">
      <w:pPr>
        <w:pStyle w:val="Affiliation"/>
        <w:rPr>
          <w:vertAlign w:val="baseline"/>
        </w:rPr>
      </w:pPr>
      <w:r>
        <w:t>7</w:t>
      </w:r>
      <w:r>
        <w:rPr>
          <w:vertAlign w:val="baseline"/>
        </w:rPr>
        <w:t xml:space="preserve"> San Diego Supercomputing Center</w:t>
      </w:r>
      <w:r w:rsidR="001A3F5F">
        <w:rPr>
          <w:vertAlign w:val="baseline"/>
        </w:rPr>
        <w:t>, San Diego CA</w:t>
      </w:r>
    </w:p>
    <w:p w:rsidR="00035148" w:rsidRPr="008F03BF" w:rsidRDefault="008F03BF" w:rsidP="001A3F5F">
      <w:pPr>
        <w:pStyle w:val="Affiliation"/>
        <w:rPr>
          <w:vertAlign w:val="baseline"/>
        </w:rPr>
      </w:pPr>
      <w:r>
        <w:t xml:space="preserve">8 </w:t>
      </w:r>
      <w:r>
        <w:rPr>
          <w:vertAlign w:val="baseline"/>
        </w:rPr>
        <w:t xml:space="preserve">San Diego State </w:t>
      </w:r>
      <w:proofErr w:type="gramStart"/>
      <w:r>
        <w:rPr>
          <w:vertAlign w:val="baseline"/>
        </w:rPr>
        <w:t>University</w:t>
      </w:r>
      <w:proofErr w:type="gramEnd"/>
      <w:r w:rsidR="001A3F5F">
        <w:rPr>
          <w:vertAlign w:val="baseline"/>
        </w:rPr>
        <w:t>, San Diego, CA</w:t>
      </w:r>
    </w:p>
    <w:p w:rsidR="005335F8" w:rsidRDefault="005335F8" w:rsidP="005335F8">
      <w:pPr>
        <w:pStyle w:val="Heading1"/>
      </w:pPr>
      <w:r>
        <w:t>Introduction</w:t>
      </w:r>
      <w:r w:rsidR="00537D74">
        <w:t xml:space="preserve"> and Project Overview</w:t>
      </w:r>
    </w:p>
    <w:p w:rsidR="00BC7A5C" w:rsidRDefault="005335F8" w:rsidP="000C5AD6">
      <w:r>
        <w:t xml:space="preserve">The Open Grid Computing Environments (OGCE) project develops components and services that enable gateways to be built out of reusable parts.  This extended abstract overviews </w:t>
      </w:r>
      <w:r w:rsidR="000C5AD6">
        <w:t>our</w:t>
      </w:r>
      <w:r>
        <w:t xml:space="preserve"> primary components and de</w:t>
      </w:r>
      <w:r w:rsidR="006C0023">
        <w:t xml:space="preserve">scribes significant new efforts since the work described in </w:t>
      </w:r>
      <w:r w:rsidR="002502B1">
        <w:fldChar w:fldCharType="begin"/>
      </w:r>
      <w:r w:rsidR="00CC3551">
        <w:instrText xml:space="preserve"> REF _Ref98860358 \r \h </w:instrText>
      </w:r>
      <w:r w:rsidR="002502B1">
        <w:fldChar w:fldCharType="separate"/>
      </w:r>
      <w:r w:rsidR="000D6E85">
        <w:t>[1]</w:t>
      </w:r>
      <w:r w:rsidR="002502B1">
        <w:fldChar w:fldCharType="end"/>
      </w:r>
      <w:r w:rsidR="006C0023">
        <w:t>.</w:t>
      </w:r>
      <w:r w:rsidR="008F03BF">
        <w:t xml:space="preserve">   In previous work, the major thrust of the OGCE has been to develop Java programming abstractions for the Grid and re</w:t>
      </w:r>
      <w:r w:rsidR="00537D74">
        <w:t xml:space="preserve">usable </w:t>
      </w:r>
      <w:proofErr w:type="spellStart"/>
      <w:r w:rsidR="00537D74">
        <w:t>portlet</w:t>
      </w:r>
      <w:proofErr w:type="spellEnd"/>
      <w:r w:rsidR="008F03BF">
        <w:t xml:space="preserve"> components. These are packaged </w:t>
      </w:r>
      <w:r w:rsidR="00537D74">
        <w:t>for simple, reproducible builds using Apache Maven.</w:t>
      </w:r>
      <w:r w:rsidR="000C5AD6">
        <w:t xml:space="preserve"> </w:t>
      </w:r>
      <w:r w:rsidR="00537D74">
        <w:t>Our current work focuses on extending this to a more co</w:t>
      </w:r>
      <w:r w:rsidR="00BC7A5C">
        <w:t>mprehensive approach to science gateways</w:t>
      </w:r>
      <w:r w:rsidR="00537D74">
        <w:t xml:space="preserve">.  The </w:t>
      </w:r>
      <w:proofErr w:type="spellStart"/>
      <w:r w:rsidR="00537D74">
        <w:t>portlet</w:t>
      </w:r>
      <w:proofErr w:type="spellEnd"/>
      <w:r w:rsidR="00537D74">
        <w:t xml:space="preserve">-based download is still </w:t>
      </w:r>
      <w:r w:rsidR="00BC7A5C">
        <w:t xml:space="preserve">actively </w:t>
      </w:r>
      <w:r w:rsidR="00537D74">
        <w:t>developed</w:t>
      </w:r>
      <w:r w:rsidR="00BC7A5C">
        <w:t xml:space="preserve"> and packaged</w:t>
      </w:r>
      <w:r w:rsidR="00537D74">
        <w:t xml:space="preserve">.  </w:t>
      </w:r>
      <w:r w:rsidR="00BC7A5C">
        <w:t>Additionally, we have added several new project components.  The complete list of components is summarized below:</w:t>
      </w:r>
    </w:p>
    <w:p w:rsidR="000C5AD6" w:rsidRDefault="00035148" w:rsidP="00035148">
      <w:pPr>
        <w:pStyle w:val="ListParagraph"/>
        <w:numPr>
          <w:ilvl w:val="0"/>
          <w:numId w:val="5"/>
        </w:numPr>
      </w:pPr>
      <w:r>
        <w:t xml:space="preserve">OGCE Portal: this is a </w:t>
      </w:r>
      <w:proofErr w:type="spellStart"/>
      <w:r>
        <w:t>portlet</w:t>
      </w:r>
      <w:proofErr w:type="spellEnd"/>
      <w:r>
        <w:t xml:space="preserve"> component-based portal that provides a simple out-of-the-</w:t>
      </w:r>
      <w:proofErr w:type="gramStart"/>
      <w:r>
        <w:t>box</w:t>
      </w:r>
      <w:proofErr w:type="gramEnd"/>
      <w:r>
        <w:t xml:space="preserve"> science gateway with basic Grid functionality (</w:t>
      </w:r>
      <w:r w:rsidR="00CA0162">
        <w:t xml:space="preserve">Web </w:t>
      </w:r>
      <w:r>
        <w:t xml:space="preserve">clients to </w:t>
      </w:r>
      <w:proofErr w:type="spellStart"/>
      <w:r>
        <w:t>Globus</w:t>
      </w:r>
      <w:proofErr w:type="spellEnd"/>
      <w:r>
        <w:t xml:space="preserve"> GRAM, </w:t>
      </w:r>
      <w:proofErr w:type="spellStart"/>
      <w:r>
        <w:t>GridFTP</w:t>
      </w:r>
      <w:proofErr w:type="spellEnd"/>
      <w:r>
        <w:t xml:space="preserve">, </w:t>
      </w:r>
      <w:proofErr w:type="spellStart"/>
      <w:r>
        <w:t>MyProxy</w:t>
      </w:r>
      <w:proofErr w:type="spellEnd"/>
      <w:r>
        <w:t>, GPIR, and Condor).</w:t>
      </w:r>
      <w:r w:rsidR="00CA0162">
        <w:t xml:space="preserve"> </w:t>
      </w:r>
    </w:p>
    <w:p w:rsidR="000C5AD6" w:rsidRDefault="00035148" w:rsidP="00035148">
      <w:pPr>
        <w:pStyle w:val="ListParagraph"/>
        <w:numPr>
          <w:ilvl w:val="0"/>
          <w:numId w:val="5"/>
        </w:numPr>
      </w:pPr>
      <w:r>
        <w:t>The OGCE Workflow Suite: this consists of both</w:t>
      </w:r>
      <w:r w:rsidR="000C5AD6">
        <w:t xml:space="preserve"> services and client components that are</w:t>
      </w:r>
      <w:r>
        <w:t xml:space="preserve"> derived from the LEAD workflow tools. </w:t>
      </w:r>
    </w:p>
    <w:p w:rsidR="009506E0" w:rsidRDefault="00DE1F09" w:rsidP="00035148">
      <w:pPr>
        <w:pStyle w:val="ListParagraph"/>
        <w:numPr>
          <w:ilvl w:val="0"/>
          <w:numId w:val="5"/>
        </w:numPr>
      </w:pPr>
      <w:r>
        <w:t xml:space="preserve">OGCE Axis Services: These </w:t>
      </w:r>
      <w:r w:rsidR="00CA0162">
        <w:t xml:space="preserve">are packaged, standalone, Apache Axis 2-based </w:t>
      </w:r>
      <w:r>
        <w:t>Web services that provide Grid information.</w:t>
      </w:r>
      <w:r w:rsidR="00CA0162">
        <w:t xml:space="preserve">  </w:t>
      </w:r>
    </w:p>
    <w:p w:rsidR="00DE1F09" w:rsidRDefault="009506E0" w:rsidP="009506E0">
      <w:pPr>
        <w:pStyle w:val="ListParagraph"/>
        <w:numPr>
          <w:ilvl w:val="0"/>
          <w:numId w:val="5"/>
        </w:numPr>
      </w:pPr>
      <w:proofErr w:type="spellStart"/>
      <w:r>
        <w:t>Cyberaide</w:t>
      </w:r>
      <w:proofErr w:type="spellEnd"/>
      <w:r>
        <w:t xml:space="preserve"> </w:t>
      </w:r>
      <w:proofErr w:type="spellStart"/>
      <w:r>
        <w:t>Javascript</w:t>
      </w:r>
      <w:proofErr w:type="spellEnd"/>
      <w:r>
        <w:t xml:space="preserve"> Libraries: these are client libraries that can be used to build JavaScript clients to Grid and other services.</w:t>
      </w:r>
    </w:p>
    <w:p w:rsidR="00BC7A5C" w:rsidRDefault="00DE1F09" w:rsidP="00035148">
      <w:pPr>
        <w:pStyle w:val="ListParagraph"/>
        <w:numPr>
          <w:ilvl w:val="0"/>
          <w:numId w:val="5"/>
        </w:numPr>
      </w:pPr>
      <w:r>
        <w:t>GTLAB: These are client tag libraries that can be used by developers to build portlets, Google gadgets, an</w:t>
      </w:r>
      <w:r w:rsidR="00CA0162">
        <w:t>d similar components to Grid and other Web services.</w:t>
      </w:r>
      <w:r w:rsidR="000C5AD6">
        <w:t xml:space="preserve">  GTLAB includes clients to OGCE Axis Services. </w:t>
      </w:r>
    </w:p>
    <w:p w:rsidR="009506E0" w:rsidRDefault="00BC7A5C" w:rsidP="00035148">
      <w:pPr>
        <w:pStyle w:val="ListParagraph"/>
        <w:numPr>
          <w:ilvl w:val="0"/>
          <w:numId w:val="5"/>
        </w:numPr>
      </w:pPr>
      <w:r>
        <w:t xml:space="preserve">Open Social Gadgets and Containers:  We are developing gadget and containers as the successor to </w:t>
      </w:r>
      <w:proofErr w:type="spellStart"/>
      <w:r>
        <w:t>portlet</w:t>
      </w:r>
      <w:proofErr w:type="spellEnd"/>
      <w:r>
        <w:t xml:space="preserve">-based components.  </w:t>
      </w:r>
    </w:p>
    <w:p w:rsidR="00A703D4" w:rsidRDefault="00BC7A5C">
      <w:r>
        <w:t>Developers can use a</w:t>
      </w:r>
      <w:r w:rsidR="003622B3">
        <w:t>l</w:t>
      </w:r>
      <w:r>
        <w:t xml:space="preserve">l of these, or they can pick and choose desired tools. </w:t>
      </w:r>
      <w:r w:rsidR="00ED0F61">
        <w:t>All code is open source and available via academic license</w:t>
      </w:r>
      <w:r w:rsidR="000C5AD6">
        <w:t xml:space="preserve">.  We also have various incubator projects that may graduate to full components.  We now discuss the major components. </w:t>
      </w:r>
      <w:r w:rsidR="009506E0">
        <w:t xml:space="preserve"> </w:t>
      </w:r>
    </w:p>
    <w:p w:rsidR="00537D74" w:rsidRDefault="00537D74" w:rsidP="00537D74">
      <w:pPr>
        <w:pStyle w:val="Heading1"/>
      </w:pPr>
      <w:r>
        <w:t>OGCE Workflow Suite</w:t>
      </w:r>
    </w:p>
    <w:p w:rsidR="00B1418E" w:rsidRDefault="000C5AD6" w:rsidP="00537D74">
      <w:r>
        <w:t xml:space="preserve">The workflow suite consists of two services and two clients.  </w:t>
      </w:r>
      <w:proofErr w:type="spellStart"/>
      <w:r>
        <w:t>XRegistry</w:t>
      </w:r>
      <w:proofErr w:type="spellEnd"/>
      <w:r>
        <w:t xml:space="preserve"> is a service for storing information about other services.  GFAC is a factory service</w:t>
      </w:r>
      <w:r w:rsidR="00B1418E">
        <w:t xml:space="preserve"> that is useful for wrapping applications (binaries) as Web Services.  GFAC can be used to generate both persistent and transient services. </w:t>
      </w:r>
      <w:proofErr w:type="spellStart"/>
      <w:r w:rsidR="00B1418E">
        <w:t>XRegistry</w:t>
      </w:r>
      <w:proofErr w:type="spellEnd"/>
      <w:r w:rsidR="00B1418E">
        <w:t xml:space="preserve"> is used to publish and discover these services.  Actual workflows are graphically composed and executed using </w:t>
      </w:r>
      <w:proofErr w:type="spellStart"/>
      <w:r w:rsidR="00B1418E">
        <w:t>XBaya</w:t>
      </w:r>
      <w:proofErr w:type="spellEnd"/>
      <w:r w:rsidR="00B1418E">
        <w:t xml:space="preserve">. </w:t>
      </w:r>
      <w:proofErr w:type="spellStart"/>
      <w:r w:rsidR="00B1418E">
        <w:t>XBaya</w:t>
      </w:r>
      <w:proofErr w:type="spellEnd"/>
      <w:r w:rsidR="00B1418E">
        <w:t xml:space="preserve"> is implemented as a Java Web Start application that can be launched from the OGCE portal.  Finally, expert users can interact with the GFAC service to deploy new services through the GFAC </w:t>
      </w:r>
      <w:proofErr w:type="spellStart"/>
      <w:r w:rsidR="00B1418E">
        <w:t>portlet</w:t>
      </w:r>
      <w:proofErr w:type="spellEnd"/>
      <w:r w:rsidR="00B1418E">
        <w:t>.</w:t>
      </w:r>
    </w:p>
    <w:p w:rsidR="00B66320" w:rsidRDefault="00B1418E" w:rsidP="00537D74">
      <w:r>
        <w:t xml:space="preserve">Both </w:t>
      </w:r>
      <w:proofErr w:type="spellStart"/>
      <w:r>
        <w:t>XBaya</w:t>
      </w:r>
      <w:proofErr w:type="spellEnd"/>
      <w:r>
        <w:t xml:space="preserve"> and the GFAC portlets are undergoing significant revisions.  We are decoupling the workflow orchestration parts of </w:t>
      </w:r>
      <w:proofErr w:type="spellStart"/>
      <w:r>
        <w:t>XBaya</w:t>
      </w:r>
      <w:proofErr w:type="spellEnd"/>
      <w:r>
        <w:t xml:space="preserve"> from the graphical composer</w:t>
      </w:r>
      <w:r w:rsidR="00B66320">
        <w:t xml:space="preserve">. The new orchestration engine is an extension of the Apache Orchestration Director Engine project.  GFAC portlets are also being rewritten using Java Server Faces. By using the Apache </w:t>
      </w:r>
      <w:proofErr w:type="spellStart"/>
      <w:proofErr w:type="gramStart"/>
      <w:r w:rsidR="00B66320">
        <w:t>portlet</w:t>
      </w:r>
      <w:proofErr w:type="spellEnd"/>
      <w:r w:rsidR="00B66320">
        <w:t xml:space="preserve"> bridge</w:t>
      </w:r>
      <w:proofErr w:type="gramEnd"/>
      <w:r w:rsidR="00B66320">
        <w:t xml:space="preserve">, we can make these components available as portlets.  Additionally, they can also be used to build standalone </w:t>
      </w:r>
      <w:r w:rsidR="00B66320">
        <w:lastRenderedPageBreak/>
        <w:t>web interfaces.  Finally, the constituent beans that power Java Server Faces can be used in Java Swing interfaces.</w:t>
      </w:r>
    </w:p>
    <w:p w:rsidR="00537D74" w:rsidRPr="00537D74" w:rsidRDefault="00B66320" w:rsidP="00537D74">
      <w:r>
        <w:t xml:space="preserve">The OGCE Workflow Suite tools were originally developed as part of the Linked Environment for Atmospheric Modeling (LEAD) project.  The OGCE removes LEAD-specific features and streamlines the packaging.  The workflow suite is currently being used by </w:t>
      </w:r>
      <w:proofErr w:type="spellStart"/>
      <w:r>
        <w:t>BioVLAB</w:t>
      </w:r>
      <w:proofErr w:type="spellEnd"/>
      <w:r>
        <w:t xml:space="preserve"> (a bioinformatics portal) and </w:t>
      </w:r>
      <w:proofErr w:type="spellStart"/>
      <w:r>
        <w:t>GridChem</w:t>
      </w:r>
      <w:proofErr w:type="spellEnd"/>
      <w:r>
        <w:t xml:space="preserve"> (a computational chemistry gateway). </w:t>
      </w:r>
    </w:p>
    <w:p w:rsidR="00D353A1" w:rsidRDefault="00D353A1" w:rsidP="00D353A1">
      <w:pPr>
        <w:pStyle w:val="Heading1"/>
      </w:pPr>
      <w:r>
        <w:t>Gadgets and Open</w:t>
      </w:r>
      <w:r w:rsidR="00BC7A5C">
        <w:t xml:space="preserve"> </w:t>
      </w:r>
      <w:r>
        <w:t>Social Co</w:t>
      </w:r>
      <w:r w:rsidRPr="008D529D">
        <w:t xml:space="preserve">ntainers </w:t>
      </w:r>
    </w:p>
    <w:p w:rsidR="00271ADF" w:rsidRDefault="00D353A1" w:rsidP="00D353A1">
      <w:r w:rsidRPr="00C765D7">
        <w:t xml:space="preserve">Google gadgets are becoming increasingly popular </w:t>
      </w:r>
      <w:r w:rsidR="00271ADF">
        <w:t xml:space="preserve">way for delivering customized Web content through components.  </w:t>
      </w:r>
      <w:r>
        <w:t>The design concept</w:t>
      </w:r>
      <w:r w:rsidR="00271ADF">
        <w:t>s</w:t>
      </w:r>
      <w:r>
        <w:t xml:space="preserve"> </w:t>
      </w:r>
      <w:r w:rsidR="00271ADF">
        <w:t>of portlets and gadgets are</w:t>
      </w:r>
      <w:r>
        <w:t xml:space="preserve"> very different. Portlet frameworks achieve web content aggregation </w:t>
      </w:r>
      <w:r w:rsidR="00271ADF">
        <w:t xml:space="preserve">on the server side, while gadget frameworks enable </w:t>
      </w:r>
      <w:r>
        <w:t>client-sid</w:t>
      </w:r>
      <w:r w:rsidR="00BC7A5C">
        <w:t xml:space="preserve">e aggregation following the Web </w:t>
      </w:r>
      <w:r>
        <w:t xml:space="preserve">2.0 paradigm. A gadget </w:t>
      </w:r>
      <w:r w:rsidR="00BC7A5C">
        <w:t xml:space="preserve">can be </w:t>
      </w:r>
      <w:r>
        <w:t>regarded as a mini</w:t>
      </w:r>
      <w:r w:rsidR="00BC7A5C">
        <w:t>ature</w:t>
      </w:r>
      <w:r w:rsidR="00271ADF">
        <w:t xml:space="preserve"> web application and</w:t>
      </w:r>
      <w:r>
        <w:t xml:space="preserve"> can define its content and control logic in client-side JavaScript and HTML. In this way it has less dependence on its container than a </w:t>
      </w:r>
      <w:proofErr w:type="spellStart"/>
      <w:r>
        <w:t>portlet</w:t>
      </w:r>
      <w:proofErr w:type="spellEnd"/>
      <w:r w:rsidR="00271ADF">
        <w:t>.</w:t>
      </w:r>
    </w:p>
    <w:p w:rsidR="00D353A1" w:rsidRDefault="00D353A1" w:rsidP="00D353A1">
      <w:r>
        <w:t xml:space="preserve">A standardized gadget framework is necessary for development and deployment of gadgets. </w:t>
      </w:r>
      <w:r w:rsidR="00BC7A5C">
        <w:t>The Google-led</w:t>
      </w:r>
      <w:r>
        <w:t xml:space="preserve"> </w:t>
      </w:r>
      <w:proofErr w:type="spellStart"/>
      <w:r>
        <w:t>OpenSocial</w:t>
      </w:r>
      <w:proofErr w:type="spellEnd"/>
      <w:r w:rsidR="00BC7A5C">
        <w:t xml:space="preserve"> </w:t>
      </w:r>
      <w:r w:rsidR="002502B1">
        <w:fldChar w:fldCharType="begin"/>
      </w:r>
      <w:r w:rsidR="00BC7A5C">
        <w:instrText xml:space="preserve"> REF _Ref99106503 \r \h </w:instrText>
      </w:r>
      <w:r w:rsidR="002502B1">
        <w:fldChar w:fldCharType="separate"/>
      </w:r>
      <w:r w:rsidR="000D6E85">
        <w:t>[2]</w:t>
      </w:r>
      <w:r w:rsidR="002502B1">
        <w:fldChar w:fldCharType="end"/>
      </w:r>
      <w:r>
        <w:t xml:space="preserve"> </w:t>
      </w:r>
      <w:r w:rsidR="00BC7A5C">
        <w:t xml:space="preserve">consortium defines a </w:t>
      </w:r>
      <w:r>
        <w:t xml:space="preserve">framework </w:t>
      </w:r>
      <w:r w:rsidR="00BC7A5C">
        <w:t xml:space="preserve">that </w:t>
      </w:r>
      <w:r>
        <w:t xml:space="preserve">standardizes the practices of gadget and social-networking sites, enabling web developers to write gadgets that can run in any </w:t>
      </w:r>
      <w:proofErr w:type="spellStart"/>
      <w:r>
        <w:t>OpenSocial</w:t>
      </w:r>
      <w:proofErr w:type="spellEnd"/>
      <w:r>
        <w:t xml:space="preserve"> compliant container. Many social networking sites have adopted the </w:t>
      </w:r>
      <w:proofErr w:type="spellStart"/>
      <w:r>
        <w:t>OpenSocial</w:t>
      </w:r>
      <w:proofErr w:type="spellEnd"/>
      <w:r>
        <w:t xml:space="preserve"> framework and open their containers to developers. For example, an </w:t>
      </w:r>
      <w:proofErr w:type="spellStart"/>
      <w:r>
        <w:t>OpenSocial</w:t>
      </w:r>
      <w:proofErr w:type="spellEnd"/>
      <w:r>
        <w:t xml:space="preserve"> gadget can be easily added into </w:t>
      </w:r>
      <w:r w:rsidR="00271ADF">
        <w:t xml:space="preserve">the </w:t>
      </w:r>
      <w:proofErr w:type="spellStart"/>
      <w:r>
        <w:t>iGoogle</w:t>
      </w:r>
      <w:proofErr w:type="spellEnd"/>
      <w:r>
        <w:t xml:space="preserve"> sandbox </w:t>
      </w:r>
      <w:r w:rsidR="002502B1">
        <w:fldChar w:fldCharType="begin"/>
      </w:r>
      <w:r w:rsidR="00C63BB7">
        <w:instrText xml:space="preserve"> REF _Ref99106584 \r \h </w:instrText>
      </w:r>
      <w:r w:rsidR="002502B1">
        <w:fldChar w:fldCharType="separate"/>
      </w:r>
      <w:r w:rsidR="000D6E85">
        <w:t>[3]</w:t>
      </w:r>
      <w:r w:rsidR="002502B1">
        <w:fldChar w:fldCharType="end"/>
      </w:r>
      <w:r w:rsidR="00C63BB7">
        <w:t xml:space="preserve">. Moreover, the Apache Shindig </w:t>
      </w:r>
      <w:r w:rsidR="002502B1">
        <w:fldChar w:fldCharType="begin"/>
      </w:r>
      <w:r w:rsidR="00C63BB7">
        <w:instrText xml:space="preserve"> REF _Ref99106606 \r \h </w:instrText>
      </w:r>
      <w:r w:rsidR="002502B1">
        <w:fldChar w:fldCharType="separate"/>
      </w:r>
      <w:r w:rsidR="000D6E85">
        <w:t>[4]</w:t>
      </w:r>
      <w:r w:rsidR="002502B1">
        <w:fldChar w:fldCharType="end"/>
      </w:r>
      <w:r w:rsidR="00C63BB7">
        <w:t xml:space="preserve"> incubator project provides a </w:t>
      </w:r>
      <w:r>
        <w:t xml:space="preserve">reference implementation of </w:t>
      </w:r>
      <w:proofErr w:type="spellStart"/>
      <w:r>
        <w:t>OpenSoc</w:t>
      </w:r>
      <w:r w:rsidR="00C63BB7">
        <w:t>ial</w:t>
      </w:r>
      <w:proofErr w:type="spellEnd"/>
      <w:r w:rsidR="00C63BB7">
        <w:t xml:space="preserve"> container for PHP and Java.</w:t>
      </w:r>
    </w:p>
    <w:p w:rsidR="00D353A1" w:rsidRDefault="00271ADF" w:rsidP="00D353A1">
      <w:r>
        <w:t>The OGCE</w:t>
      </w:r>
      <w:r w:rsidR="00C63BB7">
        <w:t xml:space="preserve"> </w:t>
      </w:r>
      <w:r>
        <w:t>has undertaken</w:t>
      </w:r>
      <w:r w:rsidR="00C63BB7">
        <w:t xml:space="preserve"> a pilot project to test the feasibility of </w:t>
      </w:r>
      <w:r>
        <w:t xml:space="preserve">using </w:t>
      </w:r>
      <w:r w:rsidR="00C63BB7">
        <w:t xml:space="preserve">the Open Social framework for science gateways.  We have developed a set of </w:t>
      </w:r>
      <w:r w:rsidR="00D353A1">
        <w:t>gadgets for both Open</w:t>
      </w:r>
      <w:r w:rsidR="00C63BB7">
        <w:t xml:space="preserve"> Life Science Gateway (OLSG) </w:t>
      </w:r>
      <w:r w:rsidR="002502B1">
        <w:fldChar w:fldCharType="begin"/>
      </w:r>
      <w:r w:rsidR="00C63BB7">
        <w:instrText xml:space="preserve"> REF _Ref99106704 \r \h </w:instrText>
      </w:r>
      <w:r w:rsidR="002502B1">
        <w:fldChar w:fldCharType="separate"/>
      </w:r>
      <w:r w:rsidR="000D6E85">
        <w:t>[5]</w:t>
      </w:r>
      <w:r w:rsidR="002502B1">
        <w:fldChar w:fldCharType="end"/>
      </w:r>
      <w:r w:rsidR="00D353A1">
        <w:t xml:space="preserve"> and </w:t>
      </w:r>
      <w:r>
        <w:t xml:space="preserve">the </w:t>
      </w:r>
      <w:r w:rsidR="00D353A1" w:rsidRPr="00CB46B2">
        <w:t>Social Informatics Data Gr</w:t>
      </w:r>
      <w:r w:rsidR="00C63BB7">
        <w:t>id (</w:t>
      </w:r>
      <w:proofErr w:type="spellStart"/>
      <w:r w:rsidR="00C63BB7">
        <w:t>SIDGrid</w:t>
      </w:r>
      <w:proofErr w:type="spellEnd"/>
      <w:r w:rsidR="00C63BB7">
        <w:t xml:space="preserve">) </w:t>
      </w:r>
      <w:r w:rsidR="002502B1">
        <w:fldChar w:fldCharType="begin"/>
      </w:r>
      <w:r w:rsidR="00C63BB7">
        <w:instrText xml:space="preserve"> REF _Ref99106722 \r \h </w:instrText>
      </w:r>
      <w:r w:rsidR="002502B1">
        <w:fldChar w:fldCharType="separate"/>
      </w:r>
      <w:r w:rsidR="000D6E85">
        <w:t>[6]</w:t>
      </w:r>
      <w:r w:rsidR="002502B1">
        <w:fldChar w:fldCharType="end"/>
      </w:r>
      <w:r w:rsidR="00D353A1">
        <w:t>. OLSG is a computational portal that integrates a group of bioinformatics applications a</w:t>
      </w:r>
      <w:r>
        <w:t xml:space="preserve">nd data collections. </w:t>
      </w:r>
      <w:proofErr w:type="spellStart"/>
      <w:r>
        <w:t>SIDGrid</w:t>
      </w:r>
      <w:proofErr w:type="spellEnd"/>
      <w:r>
        <w:t xml:space="preserve"> provides </w:t>
      </w:r>
      <w:r w:rsidR="00D353A1">
        <w:t>cyber-</w:t>
      </w:r>
      <w:r w:rsidR="00D353A1" w:rsidRPr="00CB46B2">
        <w:t xml:space="preserve">infrastructure to </w:t>
      </w:r>
      <w:r w:rsidR="00D353A1">
        <w:t>help</w:t>
      </w:r>
      <w:r w:rsidR="00D353A1" w:rsidRPr="00CB46B2">
        <w:t xml:space="preserve"> social and behavioral scientists collect and annotate data, collaborate and share data, and analyze and mine large data repositories.</w:t>
      </w:r>
    </w:p>
    <w:p w:rsidR="00D353A1" w:rsidRDefault="009F775F" w:rsidP="00D353A1">
      <w:r>
        <w:t xml:space="preserve">The OLSG includes three gadgets: </w:t>
      </w:r>
      <w:proofErr w:type="spellStart"/>
      <w:r w:rsidRPr="009F775F">
        <w:rPr>
          <w:i/>
        </w:rPr>
        <w:t>ClustalW</w:t>
      </w:r>
      <w:proofErr w:type="spellEnd"/>
      <w:r w:rsidRPr="009F775F">
        <w:rPr>
          <w:i/>
        </w:rPr>
        <w:t>, BLAST,</w:t>
      </w:r>
      <w:r>
        <w:t xml:space="preserve"> and </w:t>
      </w:r>
      <w:proofErr w:type="spellStart"/>
      <w:r w:rsidRPr="009F775F">
        <w:rPr>
          <w:i/>
        </w:rPr>
        <w:t>JobHistory</w:t>
      </w:r>
      <w:proofErr w:type="spellEnd"/>
      <w:r>
        <w:t xml:space="preserve">, which can be loaded in </w:t>
      </w:r>
      <w:proofErr w:type="spellStart"/>
      <w:r>
        <w:t>iGoogle</w:t>
      </w:r>
      <w:proofErr w:type="spellEnd"/>
      <w:r>
        <w:t xml:space="preserve"> or any compatible container</w:t>
      </w:r>
      <w:r w:rsidR="00D353A1">
        <w:t xml:space="preserve">. Both </w:t>
      </w:r>
      <w:r w:rsidR="00C63BB7">
        <w:t xml:space="preserve">BLAST and </w:t>
      </w:r>
      <w:proofErr w:type="spellStart"/>
      <w:r w:rsidR="00C63BB7">
        <w:t>C</w:t>
      </w:r>
      <w:r w:rsidR="00271ADF">
        <w:t>lustalW</w:t>
      </w:r>
      <w:proofErr w:type="spellEnd"/>
      <w:r w:rsidR="00D353A1">
        <w:t xml:space="preserve"> are very commonly used sequence alignment tools in bioinformatics. Through these two gadgets, </w:t>
      </w:r>
      <w:r w:rsidR="00C63BB7">
        <w:t>users</w:t>
      </w:r>
      <w:r w:rsidR="00D353A1">
        <w:t xml:space="preserve"> can post DNA or protein sequences and run the </w:t>
      </w:r>
      <w:r w:rsidR="00271ADF">
        <w:t xml:space="preserve">OLSG’s </w:t>
      </w:r>
      <w:r w:rsidR="00D353A1">
        <w:t xml:space="preserve">alignment services. The </w:t>
      </w:r>
      <w:proofErr w:type="spellStart"/>
      <w:r>
        <w:rPr>
          <w:i/>
        </w:rPr>
        <w:t>J</w:t>
      </w:r>
      <w:r w:rsidR="00D353A1" w:rsidRPr="00C63BB7">
        <w:rPr>
          <w:i/>
        </w:rPr>
        <w:t>ob</w:t>
      </w:r>
      <w:r>
        <w:rPr>
          <w:i/>
        </w:rPr>
        <w:t>H</w:t>
      </w:r>
      <w:r w:rsidR="00D353A1" w:rsidRPr="00C63BB7">
        <w:rPr>
          <w:i/>
        </w:rPr>
        <w:t>istory</w:t>
      </w:r>
      <w:proofErr w:type="spellEnd"/>
      <w:r w:rsidR="00D353A1">
        <w:t xml:space="preserve"> gadget allows users to check the status of their computing tasks and retrieve the result reports from the finished tasks. </w:t>
      </w:r>
    </w:p>
    <w:p w:rsidR="00C63BB7" w:rsidRDefault="00C63BB7" w:rsidP="00D353A1">
      <w:r>
        <w:t xml:space="preserve">Open Social gadgets are associated with </w:t>
      </w:r>
      <w:proofErr w:type="spellStart"/>
      <w:r>
        <w:t>OAuth</w:t>
      </w:r>
      <w:proofErr w:type="spellEnd"/>
      <w:r>
        <w:t xml:space="preserve"> </w:t>
      </w:r>
      <w:r w:rsidR="002502B1">
        <w:fldChar w:fldCharType="begin"/>
      </w:r>
      <w:r>
        <w:instrText xml:space="preserve"> REF _Ref99106924 \r \h </w:instrText>
      </w:r>
      <w:r w:rsidR="002502B1">
        <w:fldChar w:fldCharType="separate"/>
      </w:r>
      <w:r w:rsidR="000D6E85">
        <w:t>[7]</w:t>
      </w:r>
      <w:r w:rsidR="002502B1">
        <w:fldChar w:fldCharType="end"/>
      </w:r>
      <w:r>
        <w:t xml:space="preserve">, an emerging standard for Web security. </w:t>
      </w:r>
      <w:r w:rsidR="00D353A1">
        <w:t xml:space="preserve">To support </w:t>
      </w:r>
      <w:proofErr w:type="spellStart"/>
      <w:r w:rsidR="00D353A1">
        <w:t>OAuth</w:t>
      </w:r>
      <w:proofErr w:type="spellEnd"/>
      <w:r w:rsidR="00D353A1">
        <w:t xml:space="preserve"> in our gadgets, we have developed an </w:t>
      </w:r>
      <w:proofErr w:type="spellStart"/>
      <w:r w:rsidR="00D353A1">
        <w:t>OAuth</w:t>
      </w:r>
      <w:proofErr w:type="spellEnd"/>
      <w:r w:rsidR="00D353A1">
        <w:t xml:space="preserve"> provider that consists of a group of Java </w:t>
      </w:r>
      <w:proofErr w:type="spellStart"/>
      <w:r w:rsidR="00D353A1">
        <w:t>Servlets</w:t>
      </w:r>
      <w:proofErr w:type="spellEnd"/>
      <w:r w:rsidR="00D353A1">
        <w:t xml:space="preserve">. By using </w:t>
      </w:r>
      <w:proofErr w:type="spellStart"/>
      <w:r w:rsidR="00D353A1">
        <w:t>OAuth</w:t>
      </w:r>
      <w:proofErr w:type="spellEnd"/>
      <w:r w:rsidR="00D353A1">
        <w:t xml:space="preserve"> tokens, an </w:t>
      </w:r>
      <w:proofErr w:type="spellStart"/>
      <w:r w:rsidR="00D353A1">
        <w:t>OpenSocial</w:t>
      </w:r>
      <w:proofErr w:type="spellEnd"/>
      <w:r w:rsidR="00D353A1">
        <w:t xml:space="preserve"> container and our science gateway build up their mutual trust so that the science gateway </w:t>
      </w:r>
      <w:r>
        <w:t>can</w:t>
      </w:r>
      <w:r w:rsidR="00D353A1">
        <w:t xml:space="preserve"> authorize requests from the container to access the restricted data and services. </w:t>
      </w:r>
      <w:r>
        <w:t xml:space="preserve">  </w:t>
      </w:r>
    </w:p>
    <w:p w:rsidR="0045108E" w:rsidRDefault="00C63BB7" w:rsidP="00D353A1">
      <w:r>
        <w:t xml:space="preserve">Based on our initial experiments, we conclude that Open Social and related standards like </w:t>
      </w:r>
      <w:proofErr w:type="spellStart"/>
      <w:r>
        <w:t>OAuth</w:t>
      </w:r>
      <w:proofErr w:type="spellEnd"/>
      <w:r>
        <w:t xml:space="preserve"> are a suitable platform for building science gateways. Code originally developed for the OLSG and </w:t>
      </w:r>
      <w:proofErr w:type="spellStart"/>
      <w:r>
        <w:t>SidGrid</w:t>
      </w:r>
      <w:proofErr w:type="spellEnd"/>
      <w:r>
        <w:t xml:space="preserve"> have been contributed back to the OGCE, and we are examining ways to generalize these contributions for new gateways.</w:t>
      </w:r>
    </w:p>
    <w:p w:rsidR="00C63BB7" w:rsidRDefault="00C63BB7" w:rsidP="0045108E">
      <w:pPr>
        <w:pStyle w:val="Heading1"/>
      </w:pPr>
      <w:r>
        <w:t xml:space="preserve">OGCE </w:t>
      </w:r>
      <w:r w:rsidR="0045108E">
        <w:t>Axis Services</w:t>
      </w:r>
    </w:p>
    <w:p w:rsidR="0045108E" w:rsidRPr="00C63BB7" w:rsidRDefault="00C63BB7" w:rsidP="00C63BB7">
      <w:r>
        <w:t>A science gateway must go beyond user interface components and programming layers to also provide portal services</w:t>
      </w:r>
      <w:r w:rsidR="00CF459F">
        <w:t xml:space="preserve"> that maintain and deliver persistence information</w:t>
      </w:r>
      <w:r>
        <w:t xml:space="preserve">. The OGCE Axis Services component is a self-contained build that currently includes the Resource Discovery and Resource Prediction Services, described below.  The packaging is general, however, and can be extended to include other Axis 2 services.  </w:t>
      </w:r>
      <w:r w:rsidR="00D11D9F">
        <w:t>The OGCE’s Grid Portal Information Repository service is currently being repackaged to be included in this release bundle.</w:t>
      </w:r>
      <w:r>
        <w:t xml:space="preserve"> Web clients to these services are available from the OGCE’s GTLAB </w:t>
      </w:r>
      <w:r w:rsidR="00CF459F">
        <w:t>sub-project</w:t>
      </w:r>
      <w:r>
        <w:t>.</w:t>
      </w:r>
    </w:p>
    <w:p w:rsidR="0045108E" w:rsidRPr="009241A5" w:rsidRDefault="008F03BF" w:rsidP="0045108E">
      <w:r w:rsidRPr="008F03BF">
        <w:rPr>
          <w:b/>
        </w:rPr>
        <w:t>Resource Prediction Service:</w:t>
      </w:r>
      <w:r>
        <w:t xml:space="preserve"> </w:t>
      </w:r>
      <w:r w:rsidR="00C63BB7">
        <w:t xml:space="preserve">Large, </w:t>
      </w:r>
      <w:r w:rsidR="0045108E" w:rsidRPr="009241A5">
        <w:t xml:space="preserve">complex scientific workflows </w:t>
      </w:r>
      <w:r w:rsidR="00C63BB7">
        <w:t xml:space="preserve">characteristically have </w:t>
      </w:r>
      <w:r w:rsidR="0045108E" w:rsidRPr="009241A5">
        <w:t>parallel computations, distributed data transfer and management</w:t>
      </w:r>
      <w:r w:rsidR="00CF459F">
        <w:t>,</w:t>
      </w:r>
      <w:r w:rsidR="0045108E" w:rsidRPr="009241A5">
        <w:t xml:space="preserve"> and soft real-time constraints. However, the computational grids on which these workflows may run have </w:t>
      </w:r>
      <w:r w:rsidR="0045108E">
        <w:t>disparate and heterogeneous systems and software and few guarantees of performance and reliability</w:t>
      </w:r>
      <w:r w:rsidR="00C63BB7">
        <w:t xml:space="preserve">. This necessitates </w:t>
      </w:r>
      <w:r w:rsidR="0045108E" w:rsidRPr="009241A5">
        <w:t>new approaches to scheduling complex scientific workflows on computational grids. The Resource Prediction Service determines the optimal resource</w:t>
      </w:r>
      <w:r w:rsidR="00CF459F">
        <w:t>s</w:t>
      </w:r>
      <w:r w:rsidR="0045108E" w:rsidRPr="009241A5">
        <w:t xml:space="preserve"> for running a scientific application on a computational grid like the TeraGrid. </w:t>
      </w:r>
      <w:r w:rsidR="0045108E">
        <w:t xml:space="preserve">An optimal resource is one that minimizes the total expected time to completion of the application, which is the sum of the </w:t>
      </w:r>
      <w:r w:rsidR="0045108E" w:rsidRPr="009241A5">
        <w:t>data transfer time, the batc</w:t>
      </w:r>
      <w:r w:rsidR="0045108E">
        <w:t>h-queue wait time and the compute time as described below.</w:t>
      </w:r>
    </w:p>
    <w:p w:rsidR="0045108E" w:rsidRDefault="0045108E" w:rsidP="0045108E">
      <w:r w:rsidRPr="00C63BB7">
        <w:rPr>
          <w:i/>
        </w:rPr>
        <w:t>Data transfer time:</w:t>
      </w:r>
      <w:r>
        <w:t xml:space="preserve"> </w:t>
      </w:r>
      <w:r w:rsidRPr="009241A5">
        <w:t>Wor</w:t>
      </w:r>
      <w:r>
        <w:t>kflow execution usually involves</w:t>
      </w:r>
      <w:r w:rsidRPr="009241A5">
        <w:t xml:space="preserve"> moving large amounts of data between workflow steps, which takes </w:t>
      </w:r>
      <w:r>
        <w:t xml:space="preserve">a </w:t>
      </w:r>
      <w:r w:rsidRPr="009241A5">
        <w:t>signific</w:t>
      </w:r>
      <w:r>
        <w:t>ant amount of time</w:t>
      </w:r>
      <w:r w:rsidR="00D11D9F">
        <w:t xml:space="preserve"> </w:t>
      </w:r>
      <w:r w:rsidR="002502B1">
        <w:fldChar w:fldCharType="begin"/>
      </w:r>
      <w:r w:rsidR="002502B1">
        <w:instrText xml:space="preserve"> REF _Ref99107529 \r \h </w:instrText>
      </w:r>
      <w:r w:rsidR="002502B1">
        <w:fldChar w:fldCharType="separate"/>
      </w:r>
      <w:r w:rsidR="000D6E85">
        <w:t>[8]</w:t>
      </w:r>
      <w:r w:rsidR="002502B1">
        <w:fldChar w:fldCharType="end"/>
      </w:r>
      <w:r>
        <w:t>. Hence, we</w:t>
      </w:r>
      <w:r w:rsidRPr="009241A5">
        <w:t xml:space="preserve"> consider the data-transfer time while calculatin</w:t>
      </w:r>
      <w:r>
        <w:t xml:space="preserve">g the total expected </w:t>
      </w:r>
      <w:r w:rsidRPr="009241A5">
        <w:t xml:space="preserve">time </w:t>
      </w:r>
      <w:r>
        <w:t xml:space="preserve">to completion </w:t>
      </w:r>
      <w:r w:rsidRPr="009241A5">
        <w:t xml:space="preserve">for an application. </w:t>
      </w:r>
    </w:p>
    <w:p w:rsidR="0045108E" w:rsidRDefault="0045108E" w:rsidP="0045108E">
      <w:r w:rsidRPr="00C63BB7">
        <w:rPr>
          <w:i/>
        </w:rPr>
        <w:t>Compute time:</w:t>
      </w:r>
      <w:r>
        <w:t xml:space="preserve"> Compute time can be obtained from the </w:t>
      </w:r>
      <w:r w:rsidRPr="009241A5">
        <w:t xml:space="preserve">performance models </w:t>
      </w:r>
      <w:r>
        <w:t xml:space="preserve">of the application, which could be as simple as </w:t>
      </w:r>
      <w:r w:rsidRPr="009241A5">
        <w:t xml:space="preserve">estimates of execution times of </w:t>
      </w:r>
      <w:r>
        <w:t>the application</w:t>
      </w:r>
      <w:r w:rsidRPr="009241A5">
        <w:t xml:space="preserve"> on different resources. Since grid resources are heterogeneo</w:t>
      </w:r>
      <w:r>
        <w:t>us</w:t>
      </w:r>
      <w:r w:rsidRPr="009241A5">
        <w:t xml:space="preserve">, the same application may have significantly different execution times on different resources. </w:t>
      </w:r>
    </w:p>
    <w:p w:rsidR="008F03BF" w:rsidRDefault="0045108E" w:rsidP="0045108E">
      <w:r w:rsidRPr="00C63BB7">
        <w:rPr>
          <w:i/>
        </w:rPr>
        <w:t>Batch-queue wait time:</w:t>
      </w:r>
      <w:r>
        <w:t xml:space="preserve"> </w:t>
      </w:r>
      <w:r w:rsidRPr="009241A5">
        <w:t>Batch-queue systems like PBS and LSF</w:t>
      </w:r>
      <w:r>
        <w:t xml:space="preserve"> are used to submit jobs to most grid resources</w:t>
      </w:r>
      <w:r w:rsidRPr="009241A5">
        <w:t xml:space="preserve">. An application may have to wait for a significant amount of time on a </w:t>
      </w:r>
      <w:r>
        <w:t>queue before it starts executing</w:t>
      </w:r>
      <w:r w:rsidRPr="009241A5">
        <w:t xml:space="preserve">. </w:t>
      </w:r>
      <w:r>
        <w:t xml:space="preserve">We </w:t>
      </w:r>
      <w:r w:rsidR="00D11D9F">
        <w:t>incorporate</w:t>
      </w:r>
      <w:r>
        <w:t xml:space="preserve"> the ba</w:t>
      </w:r>
      <w:r w:rsidR="00C63BB7">
        <w:t xml:space="preserve">tch-queue prediction service </w:t>
      </w:r>
      <w:r w:rsidR="002502B1">
        <w:fldChar w:fldCharType="begin"/>
      </w:r>
      <w:r w:rsidR="00C63BB7">
        <w:instrText xml:space="preserve"> REF _Ref99107516 \r \h </w:instrText>
      </w:r>
      <w:r w:rsidR="002502B1">
        <w:fldChar w:fldCharType="separate"/>
      </w:r>
      <w:r w:rsidR="000D6E85">
        <w:t>[9]</w:t>
      </w:r>
      <w:r w:rsidR="002502B1">
        <w:fldChar w:fldCharType="end"/>
      </w:r>
      <w:r w:rsidR="00C63BB7">
        <w:t xml:space="preserve"> </w:t>
      </w:r>
      <w:r w:rsidRPr="009241A5">
        <w:t>for esti</w:t>
      </w:r>
      <w:r>
        <w:t>mates of batch-queue wait times.</w:t>
      </w:r>
    </w:p>
    <w:p w:rsidR="008F03BF" w:rsidRDefault="008F03BF" w:rsidP="008F03BF">
      <w:bookmarkStart w:id="6" w:name="OLE_LINK5"/>
      <w:r w:rsidRPr="008F03BF">
        <w:rPr>
          <w:b/>
        </w:rPr>
        <w:t xml:space="preserve">Resource </w:t>
      </w:r>
      <w:r>
        <w:rPr>
          <w:b/>
        </w:rPr>
        <w:t>Discovery</w:t>
      </w:r>
      <w:r w:rsidRPr="008F03BF">
        <w:rPr>
          <w:b/>
        </w:rPr>
        <w:t xml:space="preserve"> Service:</w:t>
      </w:r>
      <w:r>
        <w:t xml:space="preserve"> The TeraG</w:t>
      </w:r>
      <w:r w:rsidR="00D11D9F">
        <w:t>rid Resource Discovery Service</w:t>
      </w:r>
      <w:r>
        <w:t xml:space="preserve"> is a tool designed to provide user-specific compute, storage and visualization listings to science gateways.  It was created to fill the need of many gateways that were otherwise unable to quickly discover which resources a user could access.  The service essentially aggregates two distinct functions: discovery and monitoring.  It first looks up the resources to which the user has access in the </w:t>
      </w:r>
      <w:r w:rsidR="00D11D9F">
        <w:t xml:space="preserve">TeraGrid Central Database and then </w:t>
      </w:r>
      <w:r>
        <w:t>prunes the list of unavailable resources found by querying Inca (</w:t>
      </w:r>
      <w:hyperlink r:id="rId5" w:history="1">
        <w:r w:rsidRPr="00D15D10">
          <w:rPr>
            <w:rStyle w:val="Hyperlink"/>
          </w:rPr>
          <w:t>http://inca.sdsc.edu/</w:t>
        </w:r>
      </w:hyperlink>
      <w:r>
        <w:t>).</w:t>
      </w:r>
    </w:p>
    <w:p w:rsidR="0085128F" w:rsidRDefault="008F03BF" w:rsidP="00D11D9F">
      <w:r>
        <w:t>For instances where the service is not used within the context of the TeraGrid, configuration options are available to use either GPIR (</w:t>
      </w:r>
      <w:hyperlink r:id="rId6" w:history="1">
        <w:r w:rsidRPr="00D15D10">
          <w:rPr>
            <w:rStyle w:val="Hyperlink"/>
          </w:rPr>
          <w:t>http://www.gridport.net/services/gpir/</w:t>
        </w:r>
      </w:hyperlink>
      <w:r>
        <w:t>) or a static listing as the discovery mechanism.  Further, in the event Inca is not available, the service bypasses the pruning stage, returning the full list of user-accessible resources.</w:t>
      </w:r>
      <w:r w:rsidR="00B844AE">
        <w:t xml:space="preserve"> </w:t>
      </w:r>
      <w:r w:rsidR="00D11D9F">
        <w:t>The Resource Discovery Service</w:t>
      </w:r>
      <w:r>
        <w:t xml:space="preserve"> is currently in production and used by the File Manager within the TeraGrid User Portal (</w:t>
      </w:r>
      <w:hyperlink r:id="rId7" w:history="1">
        <w:r w:rsidRPr="00D15D10">
          <w:rPr>
            <w:rStyle w:val="Hyperlink"/>
          </w:rPr>
          <w:t>http://portal.teragrid.org</w:t>
        </w:r>
      </w:hyperlink>
      <w:r>
        <w:t xml:space="preserve">). The service works out of the box with the OGCE file manager </w:t>
      </w:r>
      <w:proofErr w:type="spellStart"/>
      <w:r>
        <w:t>portlet</w:t>
      </w:r>
      <w:proofErr w:type="spellEnd"/>
      <w:r>
        <w:t>.</w:t>
      </w:r>
      <w:bookmarkEnd w:id="6"/>
    </w:p>
    <w:p w:rsidR="0085128F" w:rsidRDefault="0085128F" w:rsidP="008F03BF">
      <w:pPr>
        <w:pStyle w:val="Heading1"/>
        <w:rPr>
          <w:lang w:eastAsia="zh-CN"/>
        </w:rPr>
      </w:pPr>
      <w:proofErr w:type="spellStart"/>
      <w:r w:rsidRPr="00257A18">
        <w:rPr>
          <w:lang w:eastAsia="zh-CN"/>
        </w:rPr>
        <w:t>Cyberaide</w:t>
      </w:r>
      <w:proofErr w:type="spellEnd"/>
      <w:r w:rsidRPr="00257A18">
        <w:rPr>
          <w:lang w:eastAsia="zh-CN"/>
        </w:rPr>
        <w:t xml:space="preserve"> JavaScript</w:t>
      </w:r>
      <w:r w:rsidR="00C63BB7">
        <w:rPr>
          <w:lang w:eastAsia="zh-CN"/>
        </w:rPr>
        <w:t xml:space="preserve"> Grid Clients</w:t>
      </w:r>
    </w:p>
    <w:p w:rsidR="00C63BB7" w:rsidRDefault="00C63BB7" w:rsidP="008F03BF">
      <w:pPr>
        <w:rPr>
          <w:lang w:eastAsia="zh-CN"/>
        </w:rPr>
      </w:pPr>
      <w:r>
        <w:rPr>
          <w:lang w:eastAsia="zh-CN"/>
        </w:rPr>
        <w:t xml:space="preserve">In previous OGCE and related work, we developed programming abstractions for the Grid within the Java </w:t>
      </w:r>
      <w:proofErr w:type="spellStart"/>
      <w:r>
        <w:rPr>
          <w:lang w:eastAsia="zh-CN"/>
        </w:rPr>
        <w:t>CoG</w:t>
      </w:r>
      <w:proofErr w:type="spellEnd"/>
      <w:r>
        <w:rPr>
          <w:lang w:eastAsia="zh-CN"/>
        </w:rPr>
        <w:t xml:space="preserve"> Kit </w:t>
      </w:r>
      <w:r w:rsidR="002502B1">
        <w:rPr>
          <w:lang w:eastAsia="zh-CN"/>
        </w:rPr>
        <w:fldChar w:fldCharType="begin"/>
      </w:r>
      <w:r w:rsidR="00415E7A">
        <w:rPr>
          <w:lang w:eastAsia="zh-CN"/>
        </w:rPr>
        <w:instrText xml:space="preserve"> REF _Ref99107963 \r \h </w:instrText>
      </w:r>
      <w:r w:rsidR="002502B1">
        <w:rPr>
          <w:lang w:eastAsia="zh-CN"/>
        </w:rPr>
      </w:r>
      <w:r w:rsidR="002502B1">
        <w:rPr>
          <w:lang w:eastAsia="zh-CN"/>
        </w:rPr>
        <w:fldChar w:fldCharType="separate"/>
      </w:r>
      <w:r w:rsidR="000D6E85">
        <w:rPr>
          <w:lang w:eastAsia="zh-CN"/>
        </w:rPr>
        <w:t>[10]</w:t>
      </w:r>
      <w:r w:rsidR="002502B1">
        <w:rPr>
          <w:lang w:eastAsia="zh-CN"/>
        </w:rPr>
        <w:fldChar w:fldCharType="end"/>
      </w:r>
      <w:r>
        <w:rPr>
          <w:lang w:eastAsia="zh-CN"/>
        </w:rPr>
        <w:t xml:space="preserve">. Given the popularity of </w:t>
      </w:r>
      <w:r w:rsidR="00937883">
        <w:rPr>
          <w:lang w:eastAsia="zh-CN"/>
        </w:rPr>
        <w:t xml:space="preserve">Perl, </w:t>
      </w:r>
      <w:r>
        <w:rPr>
          <w:lang w:eastAsia="zh-CN"/>
        </w:rPr>
        <w:t xml:space="preserve">PHP- and Ruby-based </w:t>
      </w:r>
      <w:r w:rsidR="00937883">
        <w:rPr>
          <w:lang w:eastAsia="zh-CN"/>
        </w:rPr>
        <w:t xml:space="preserve">Web </w:t>
      </w:r>
      <w:r>
        <w:rPr>
          <w:lang w:eastAsia="zh-CN"/>
        </w:rPr>
        <w:t xml:space="preserve">frameworks, </w:t>
      </w:r>
      <w:r w:rsidR="00415E7A">
        <w:rPr>
          <w:lang w:eastAsia="zh-CN"/>
        </w:rPr>
        <w:t xml:space="preserve">Open Social, Facebook, </w:t>
      </w:r>
      <w:r>
        <w:rPr>
          <w:lang w:eastAsia="zh-CN"/>
        </w:rPr>
        <w:t xml:space="preserve">client-side mash-ups, and JavaScript improvements generally, we saw the opportunity to provide </w:t>
      </w:r>
      <w:r w:rsidR="00937883">
        <w:rPr>
          <w:lang w:eastAsia="zh-CN"/>
        </w:rPr>
        <w:t xml:space="preserve">client libraries to </w:t>
      </w:r>
      <w:r>
        <w:rPr>
          <w:lang w:eastAsia="zh-CN"/>
        </w:rPr>
        <w:t xml:space="preserve">Grid and related tools using JavaScript.  This is the </w:t>
      </w:r>
      <w:proofErr w:type="spellStart"/>
      <w:r>
        <w:rPr>
          <w:lang w:eastAsia="zh-CN"/>
        </w:rPr>
        <w:t>Cyberaide</w:t>
      </w:r>
      <w:proofErr w:type="spellEnd"/>
      <w:r>
        <w:rPr>
          <w:lang w:eastAsia="zh-CN"/>
        </w:rPr>
        <w:t xml:space="preserve"> component of OGCE. </w:t>
      </w:r>
    </w:p>
    <w:p w:rsidR="00984E69" w:rsidRDefault="002502B1" w:rsidP="001A3F5F">
      <w:r>
        <w:rPr>
          <w:noProof/>
        </w:rPr>
        <w:pict>
          <v:shapetype id="_x0000_t202" coordsize="21600,21600" o:spt="202" path="m,l,21600r21600,l21600,xe">
            <v:stroke joinstyle="miter"/>
            <v:path gradientshapeok="t" o:connecttype="rect"/>
          </v:shapetype>
          <v:shape id="_x0000_s1026" type="#_x0000_t202" style="position:absolute;left:0;text-align:left;margin-left:4pt;margin-top:213.55pt;width:299.05pt;height:14.7pt;z-index:251660288;mso-wrap-edited:f" wrapcoords="0 0 21600 0 21600 21600 0 21600 0 0" filled="f" stroked="f">
            <v:fill o:detectmouseclick="t"/>
            <v:textbox style="mso-next-textbox:#_x0000_s1026" inset="0,0,0,0">
              <w:txbxContent>
                <w:p w:rsidR="00937883" w:rsidRDefault="00937883" w:rsidP="009F775F">
                  <w:pPr>
                    <w:pStyle w:val="Caption"/>
                  </w:pPr>
                  <w:r>
                    <w:t xml:space="preserve">Figure </w:t>
                  </w:r>
                  <w:fldSimple w:instr=" SEQ Figure \* ARABIC ">
                    <w:r w:rsidR="000D6E85">
                      <w:rPr>
                        <w:noProof/>
                      </w:rPr>
                      <w:t>1</w:t>
                    </w:r>
                  </w:fldSimple>
                  <w:r>
                    <w:t xml:space="preserve"> </w:t>
                  </w:r>
                  <w:proofErr w:type="spellStart"/>
                  <w:r>
                    <w:t>Cyberaide’s</w:t>
                  </w:r>
                  <w:proofErr w:type="spellEnd"/>
                  <w:r>
                    <w:t xml:space="preserve"> layered architecture.</w:t>
                  </w:r>
                </w:p>
              </w:txbxContent>
            </v:textbox>
            <w10:wrap type="tight"/>
          </v:shape>
        </w:pict>
      </w:r>
      <w:r w:rsidR="00937883">
        <w:rPr>
          <w:b/>
          <w:noProof/>
        </w:rPr>
        <w:drawing>
          <wp:anchor distT="0" distB="0" distL="114300" distR="114300" simplePos="0" relativeHeight="251658240" behindDoc="0" locked="0" layoutInCell="1" allowOverlap="1">
            <wp:simplePos x="0" y="0"/>
            <wp:positionH relativeFrom="column">
              <wp:posOffset>51435</wp:posOffset>
            </wp:positionH>
            <wp:positionV relativeFrom="paragraph">
              <wp:posOffset>56515</wp:posOffset>
            </wp:positionV>
            <wp:extent cx="3797935" cy="2844800"/>
            <wp:effectExtent l="25400" t="0" r="12065" b="0"/>
            <wp:wrapTight wrapText="bothSides">
              <wp:wrapPolygon edited="0">
                <wp:start x="-144" y="0"/>
                <wp:lineTo x="-144" y="21407"/>
                <wp:lineTo x="21669" y="21407"/>
                <wp:lineTo x="21669" y="0"/>
                <wp:lineTo x="-144" y="0"/>
              </wp:wrapPolygon>
            </wp:wrapTight>
            <wp:docPr id="4" name="" descr="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8"/>
                    <a:stretch>
                      <a:fillRect/>
                    </a:stretch>
                  </pic:blipFill>
                  <pic:spPr>
                    <a:xfrm>
                      <a:off x="0" y="0"/>
                      <a:ext cx="3797935" cy="2844800"/>
                    </a:xfrm>
                    <a:prstGeom prst="rect">
                      <a:avLst/>
                    </a:prstGeom>
                  </pic:spPr>
                </pic:pic>
              </a:graphicData>
            </a:graphic>
          </wp:anchor>
        </w:drawing>
      </w:r>
      <w:r w:rsidR="008F03BF" w:rsidRPr="008F03BF">
        <w:rPr>
          <w:b/>
          <w:lang w:eastAsia="zh-CN"/>
        </w:rPr>
        <w:t>Design:</w:t>
      </w:r>
      <w:r w:rsidR="008F03BF">
        <w:rPr>
          <w:lang w:eastAsia="zh-CN"/>
        </w:rPr>
        <w:t xml:space="preserve"> </w:t>
      </w:r>
      <w:r w:rsidR="0085128F">
        <w:rPr>
          <w:lang w:eastAsia="zh-CN"/>
        </w:rPr>
        <w:t>W</w:t>
      </w:r>
      <w:r w:rsidR="0085128F">
        <w:t>e have designed our framework as a layered architecture</w:t>
      </w:r>
      <w:r w:rsidR="00415E7A">
        <w:t xml:space="preserve"> (Figure 1)</w:t>
      </w:r>
      <w:r w:rsidR="0085128F">
        <w:t>. The architecture contains a Web client providing access to basic and advanced Grid functionality, as well as the necessary components to deploy them in a secure Web server. To keep the footprint of the library small</w:t>
      </w:r>
      <w:r w:rsidR="00937883">
        <w:t>,</w:t>
      </w:r>
      <w:r w:rsidR="0085128F">
        <w:t xml:space="preserve"> most of the functionalities are executed on a secure </w:t>
      </w:r>
      <w:r w:rsidR="00415E7A" w:rsidRPr="00415E7A">
        <w:rPr>
          <w:i/>
        </w:rPr>
        <w:t>mediator service</w:t>
      </w:r>
      <w:r w:rsidR="00984E69">
        <w:t>, described below.</w:t>
      </w:r>
      <w:r w:rsidR="0085128F">
        <w:t xml:space="preserve"> </w:t>
      </w:r>
    </w:p>
    <w:p w:rsidR="009F775F" w:rsidRDefault="00984E69" w:rsidP="00984E69">
      <w:r>
        <w:t xml:space="preserve">The Web client provides high-level application programming interfaces (API) to the Grid, which include important functionalities such as authentication, file transfer, job management, and workflow management. Based on the API a portal to </w:t>
      </w:r>
      <w:proofErr w:type="spellStart"/>
      <w:r>
        <w:t>Teragrid</w:t>
      </w:r>
      <w:proofErr w:type="spellEnd"/>
      <w:r>
        <w:t xml:space="preserve"> is constructed providing components to access simple Grid functionalities through graphical user interfaces from inside a web browser. Grid developers </w:t>
      </w:r>
      <w:r w:rsidR="00937883">
        <w:t>can</w:t>
      </w:r>
      <w:r>
        <w:t xml:space="preserve"> utilize the API to build domain-specific Grid portals or scientific gateways.</w:t>
      </w:r>
    </w:p>
    <w:p w:rsidR="00937883" w:rsidRDefault="00984E69" w:rsidP="00984E69">
      <w:r>
        <w:t xml:space="preserve">We are conducting all interactions to the backend Grid or cyberinfrastructure through an </w:t>
      </w:r>
      <w:r w:rsidR="00937883">
        <w:rPr>
          <w:i/>
        </w:rPr>
        <w:t>a</w:t>
      </w:r>
      <w:r w:rsidRPr="00ED1EE7">
        <w:rPr>
          <w:i/>
        </w:rPr>
        <w:t>gent service</w:t>
      </w:r>
      <w:r>
        <w:t xml:space="preserve"> and the </w:t>
      </w:r>
      <w:r w:rsidRPr="00ED1EE7">
        <w:rPr>
          <w:i/>
        </w:rPr>
        <w:t>mediator service</w:t>
      </w:r>
      <w:r>
        <w:t xml:space="preserve">. The </w:t>
      </w:r>
      <w:r w:rsidRPr="00ED1EE7">
        <w:rPr>
          <w:i/>
        </w:rPr>
        <w:t>mediator service</w:t>
      </w:r>
      <w:r>
        <w:t xml:space="preserve"> is responsible for communicating with Grid services through underlying Grid middleware such as the Java </w:t>
      </w:r>
      <w:proofErr w:type="spellStart"/>
      <w:r>
        <w:t>CoG</w:t>
      </w:r>
      <w:proofErr w:type="spellEnd"/>
      <w:r>
        <w:t xml:space="preserve"> Kit, </w:t>
      </w:r>
      <w:proofErr w:type="spellStart"/>
      <w:r>
        <w:t>Globus</w:t>
      </w:r>
      <w:proofErr w:type="spellEnd"/>
      <w:r>
        <w:t xml:space="preserve"> toolkit, </w:t>
      </w:r>
      <w:r w:rsidR="00937883">
        <w:t>and even SSH</w:t>
      </w:r>
      <w:r>
        <w:t xml:space="preserve">. The </w:t>
      </w:r>
      <w:r w:rsidRPr="00ED1EE7">
        <w:rPr>
          <w:i/>
        </w:rPr>
        <w:t>agent service</w:t>
      </w:r>
      <w:r>
        <w:t xml:space="preserve"> is an intermediate component that handles all communications between the web client and th</w:t>
      </w:r>
      <w:r w:rsidR="00937883">
        <w:t>e mediator service. T</w:t>
      </w:r>
      <w:r>
        <w:t xml:space="preserve">he agent service acts both as a service provider to the web client and as a service consumer of the mediator service. The agent service forwards the action requests to the mediator service, which ultimately sends requests to the Grid services. The results come back from the Grid through the mediator to the agent, which in turn forwards the information back to the client. </w:t>
      </w:r>
    </w:p>
    <w:p w:rsidR="00984E69" w:rsidRDefault="00984E69" w:rsidP="00984E69">
      <w:r>
        <w:t>The reason why we need an agent service is that, first we have to host the JavaScript files, CSS files and other resources in some web container, and according to the same-origin policy for JavaScript we need to put the web service that the JavaScript calls in the s</w:t>
      </w:r>
      <w:r w:rsidR="00937883">
        <w:t>ame web container. Second,</w:t>
      </w:r>
      <w:r>
        <w:t xml:space="preserve"> by separating the real application logic and putting it into the mediator service, it is possible to host the services on different machines, which increase</w:t>
      </w:r>
      <w:r w:rsidR="00937883">
        <w:t xml:space="preserve">s security and scalability.  Finally, </w:t>
      </w:r>
      <w:r>
        <w:t xml:space="preserve">this </w:t>
      </w:r>
      <w:r w:rsidR="00367974">
        <w:t>simplifies</w:t>
      </w:r>
      <w:r>
        <w:t xml:space="preserve"> mash</w:t>
      </w:r>
      <w:r w:rsidR="005A7258">
        <w:t>ing</w:t>
      </w:r>
      <w:r w:rsidR="009F775F">
        <w:t>-</w:t>
      </w:r>
      <w:r>
        <w:t>up with other third party web services and web resources.</w:t>
      </w:r>
    </w:p>
    <w:p w:rsidR="00537D74" w:rsidRDefault="00537D74" w:rsidP="00537D74">
      <w:pPr>
        <w:pStyle w:val="Heading1"/>
      </w:pPr>
      <w:r>
        <w:t>Further Information</w:t>
      </w:r>
    </w:p>
    <w:p w:rsidR="00984E69" w:rsidRDefault="00537D74" w:rsidP="00537D74">
      <w:r w:rsidRPr="00537D74">
        <w:t xml:space="preserve">The OGCE website is </w:t>
      </w:r>
      <w:hyperlink r:id="rId9" w:history="1">
        <w:r w:rsidRPr="00537D74">
          <w:rPr>
            <w:rStyle w:val="Hyperlink"/>
          </w:rPr>
          <w:t>http://www.collab-ogce.org</w:t>
        </w:r>
      </w:hyperlink>
      <w:r w:rsidRPr="00537D74">
        <w:t xml:space="preserve">.  News announcements are available from the OGCE RSS/Atom feed, </w:t>
      </w:r>
      <w:hyperlink r:id="rId10" w:history="1">
        <w:r w:rsidRPr="00537D74">
          <w:rPr>
            <w:rStyle w:val="Hyperlink"/>
          </w:rPr>
          <w:t>http://collab-ogce.blogspot.com/feeds/posts/default</w:t>
        </w:r>
      </w:hyperlink>
      <w:r w:rsidRPr="00537D74">
        <w:t xml:space="preserve">.   The </w:t>
      </w:r>
      <w:proofErr w:type="spellStart"/>
      <w:r w:rsidRPr="00537D74">
        <w:t>SourceForge</w:t>
      </w:r>
      <w:proofErr w:type="spellEnd"/>
      <w:r w:rsidRPr="00537D74">
        <w:t xml:space="preserve"> project page is </w:t>
      </w:r>
      <w:hyperlink r:id="rId11" w:history="1">
        <w:r w:rsidRPr="00537D74">
          <w:rPr>
            <w:rStyle w:val="Hyperlink"/>
          </w:rPr>
          <w:t>http://sourceforge.net/projects/ogce</w:t>
        </w:r>
      </w:hyperlink>
      <w:r w:rsidRPr="00537D74">
        <w:t xml:space="preserve"> and the SVN code repository can be viewed at </w:t>
      </w:r>
      <w:hyperlink r:id="rId12" w:history="1">
        <w:r w:rsidRPr="00537D74">
          <w:rPr>
            <w:rStyle w:val="Hyperlink"/>
          </w:rPr>
          <w:t>http://ogce.svn.sourceforge.net/viewvc/ogce/</w:t>
        </w:r>
      </w:hyperlink>
      <w:r w:rsidR="00984E69">
        <w:t xml:space="preserve">. </w:t>
      </w:r>
      <w:r w:rsidR="003622B3">
        <w:t>Releasable versions of the code are tagged with version number</w:t>
      </w:r>
      <w:r w:rsidR="00367974">
        <w:t>s</w:t>
      </w:r>
      <w:r w:rsidR="003622B3">
        <w:t xml:space="preserve"> and form an SVN branch. Packaged versions of tagged major components are downloadable directly from SVN.  We schedule two major releases per year, to coincide with TeraGrid (June) and Supercomputing (November)</w:t>
      </w:r>
      <w:r w:rsidR="00367974">
        <w:t xml:space="preserve"> conferences</w:t>
      </w:r>
      <w:r w:rsidR="003622B3">
        <w:t>.</w:t>
      </w:r>
    </w:p>
    <w:p w:rsidR="00984E69" w:rsidRDefault="00984E69" w:rsidP="00984E69">
      <w:pPr>
        <w:pStyle w:val="Heading1"/>
      </w:pPr>
      <w:r>
        <w:t>References</w:t>
      </w:r>
    </w:p>
    <w:p w:rsidR="00984E69" w:rsidRDefault="00984E69" w:rsidP="00984E69">
      <w:pPr>
        <w:pStyle w:val="Citation"/>
      </w:pPr>
      <w:bookmarkStart w:id="7" w:name="_Ref98860358"/>
      <w:r w:rsidRPr="006C0023">
        <w:t xml:space="preserve">Jay Alameda, Marcus Christie, Geoffrey Fox, Joe </w:t>
      </w:r>
      <w:proofErr w:type="spellStart"/>
      <w:r w:rsidRPr="006C0023">
        <w:t>Futrelle</w:t>
      </w:r>
      <w:proofErr w:type="spellEnd"/>
      <w:r w:rsidRPr="006C0023">
        <w:t xml:space="preserve">, Dennis Gannon, </w:t>
      </w:r>
      <w:proofErr w:type="spellStart"/>
      <w:r w:rsidRPr="006C0023">
        <w:t>Mihael</w:t>
      </w:r>
      <w:proofErr w:type="spellEnd"/>
      <w:r w:rsidRPr="006C0023">
        <w:t xml:space="preserve"> </w:t>
      </w:r>
      <w:proofErr w:type="spellStart"/>
      <w:r w:rsidRPr="006C0023">
        <w:t>Hategan</w:t>
      </w:r>
      <w:proofErr w:type="spellEnd"/>
      <w:r w:rsidRPr="006C0023">
        <w:t xml:space="preserve">, </w:t>
      </w:r>
      <w:proofErr w:type="spellStart"/>
      <w:r w:rsidRPr="006C0023">
        <w:t>Gopi</w:t>
      </w:r>
      <w:proofErr w:type="spellEnd"/>
      <w:r w:rsidRPr="006C0023">
        <w:t xml:space="preserve"> </w:t>
      </w:r>
      <w:proofErr w:type="spellStart"/>
      <w:r w:rsidRPr="006C0023">
        <w:t>Kandaswamy</w:t>
      </w:r>
      <w:proofErr w:type="spellEnd"/>
      <w:r w:rsidRPr="006C0023">
        <w:t xml:space="preserve">, </w:t>
      </w:r>
      <w:proofErr w:type="spellStart"/>
      <w:r w:rsidRPr="006C0023">
        <w:t>Gregor</w:t>
      </w:r>
      <w:proofErr w:type="spellEnd"/>
      <w:r w:rsidRPr="006C0023">
        <w:t xml:space="preserve"> von </w:t>
      </w:r>
      <w:proofErr w:type="spellStart"/>
      <w:r w:rsidRPr="006C0023">
        <w:t>Laszewski</w:t>
      </w:r>
      <w:proofErr w:type="spellEnd"/>
      <w:r w:rsidRPr="006C0023">
        <w:t xml:space="preserve">, </w:t>
      </w:r>
      <w:proofErr w:type="spellStart"/>
      <w:r w:rsidRPr="006C0023">
        <w:t>Mehmet</w:t>
      </w:r>
      <w:proofErr w:type="spellEnd"/>
      <w:r w:rsidRPr="006C0023">
        <w:t xml:space="preserve"> A. </w:t>
      </w:r>
      <w:proofErr w:type="spellStart"/>
      <w:r w:rsidRPr="006C0023">
        <w:t>Nacar</w:t>
      </w:r>
      <w:proofErr w:type="spellEnd"/>
      <w:r w:rsidRPr="006C0023">
        <w:t>, Marlon E. Pierce, Eric Roberts, Charles Severance, Mary Thomas: The Open Grid Computing Environments collaboration: portlets and services for science gateways. Concurrency and Computation: Practice and Experience 19(6): 921-942 (2007)</w:t>
      </w:r>
      <w:bookmarkEnd w:id="7"/>
    </w:p>
    <w:p w:rsidR="00984E69" w:rsidRDefault="00984E69" w:rsidP="00984E69">
      <w:pPr>
        <w:pStyle w:val="Citation"/>
      </w:pPr>
      <w:bookmarkStart w:id="8" w:name="_Ref99106503"/>
      <w:proofErr w:type="spellStart"/>
      <w:r w:rsidRPr="00027D86">
        <w:t>OpenSocial</w:t>
      </w:r>
      <w:proofErr w:type="spellEnd"/>
      <w:r w:rsidRPr="00027D86">
        <w:t xml:space="preserve"> Specification, </w:t>
      </w:r>
      <w:hyperlink r:id="rId13" w:history="1">
        <w:r w:rsidRPr="00027D86">
          <w:t>http://www.opensocial.org/</w:t>
        </w:r>
      </w:hyperlink>
      <w:bookmarkEnd w:id="8"/>
    </w:p>
    <w:p w:rsidR="00984E69" w:rsidRDefault="00984E69" w:rsidP="00984E69">
      <w:pPr>
        <w:pStyle w:val="Citation"/>
      </w:pPr>
      <w:bookmarkStart w:id="9" w:name="_Ref99106584"/>
      <w:proofErr w:type="spellStart"/>
      <w:r w:rsidRPr="00027D86">
        <w:t>iGoogle</w:t>
      </w:r>
      <w:proofErr w:type="spellEnd"/>
      <w:r w:rsidRPr="00027D86">
        <w:t xml:space="preserve"> sandbox, </w:t>
      </w:r>
      <w:hyperlink r:id="rId14" w:history="1">
        <w:r w:rsidRPr="00027D86">
          <w:t>http://code.google.com/apis/igoogle/docs/igoogledevguide.html</w:t>
        </w:r>
      </w:hyperlink>
      <w:bookmarkEnd w:id="9"/>
    </w:p>
    <w:p w:rsidR="00984E69" w:rsidRDefault="00984E69" w:rsidP="00984E69">
      <w:pPr>
        <w:pStyle w:val="Citation"/>
      </w:pPr>
      <w:bookmarkStart w:id="10" w:name="_Ref99106606"/>
      <w:r w:rsidRPr="00027D86">
        <w:t xml:space="preserve">Shindig, </w:t>
      </w:r>
      <w:hyperlink r:id="rId15" w:history="1">
        <w:r w:rsidRPr="00027D86">
          <w:t>http://incubator.apache.org/shindig/</w:t>
        </w:r>
      </w:hyperlink>
      <w:bookmarkEnd w:id="10"/>
    </w:p>
    <w:p w:rsidR="00984E69" w:rsidRDefault="00984E69" w:rsidP="00984E69">
      <w:pPr>
        <w:pStyle w:val="Citation"/>
      </w:pPr>
      <w:bookmarkStart w:id="11" w:name="_Ref99106704"/>
      <w:proofErr w:type="spellStart"/>
      <w:r w:rsidRPr="00C558F2">
        <w:t>Wenjun</w:t>
      </w:r>
      <w:proofErr w:type="spellEnd"/>
      <w:r w:rsidRPr="00C558F2">
        <w:t xml:space="preserve"> Wu, Rob Edwards et al, TeraGrid Open Life Science Gateway, TeraGrid 2008 conference</w:t>
      </w:r>
      <w:r>
        <w:t xml:space="preserve">, </w:t>
      </w:r>
      <w:r w:rsidRPr="0090793B">
        <w:t xml:space="preserve">http://www.teragrid.org/events/teragrid08/Papers/papers/24.pdf </w:t>
      </w:r>
      <w:r w:rsidRPr="00C558F2">
        <w:t xml:space="preserve">, </w:t>
      </w:r>
      <w:r>
        <w:t>June 9-13, 2008, Las Vegas.</w:t>
      </w:r>
      <w:bookmarkEnd w:id="11"/>
    </w:p>
    <w:p w:rsidR="00984E69" w:rsidRDefault="00984E69" w:rsidP="00984E69">
      <w:pPr>
        <w:pStyle w:val="Citation"/>
      </w:pPr>
      <w:r w:rsidRPr="00027D86">
        <w:t xml:space="preserve"> </w:t>
      </w:r>
      <w:bookmarkStart w:id="12" w:name="_Ref99106722"/>
      <w:r w:rsidR="002502B1">
        <w:fldChar w:fldCharType="begin"/>
      </w:r>
      <w:r>
        <w:instrText>HYPERLINK "http://ess.si.umich.edu/papers/paper184.pdf"</w:instrText>
      </w:r>
      <w:r w:rsidR="002502B1">
        <w:fldChar w:fldCharType="separate"/>
      </w:r>
      <w:r w:rsidRPr="00027D86">
        <w:t>Social Informatics Data Grid</w:t>
      </w:r>
      <w:r w:rsidR="002502B1">
        <w:fldChar w:fldCharType="end"/>
      </w:r>
      <w:r>
        <w:t xml:space="preserve">, Bennett </w:t>
      </w:r>
      <w:proofErr w:type="spellStart"/>
      <w:r>
        <w:t>Bertenthal</w:t>
      </w:r>
      <w:proofErr w:type="spellEnd"/>
      <w:r w:rsidRPr="00027D86">
        <w:t>, Robert Grossman</w:t>
      </w:r>
      <w:r>
        <w:t>,</w:t>
      </w:r>
      <w:r w:rsidRPr="00027D86">
        <w:t xml:space="preserve"> David Hanley, et al, E-Social Science 2007 Conference, October </w:t>
      </w:r>
      <w:r>
        <w:t>7-9, 2007, Ann Arbor, Michigan</w:t>
      </w:r>
      <w:bookmarkEnd w:id="12"/>
    </w:p>
    <w:p w:rsidR="00984E69" w:rsidRDefault="00984E69" w:rsidP="00984E69">
      <w:pPr>
        <w:pStyle w:val="Citation"/>
      </w:pPr>
      <w:bookmarkStart w:id="13" w:name="_Ref99106924"/>
      <w:proofErr w:type="spellStart"/>
      <w:r w:rsidRPr="00027D86">
        <w:t>OAuth</w:t>
      </w:r>
      <w:proofErr w:type="spellEnd"/>
      <w:r w:rsidRPr="00027D86">
        <w:t xml:space="preserve">, </w:t>
      </w:r>
      <w:hyperlink r:id="rId16" w:history="1">
        <w:r w:rsidRPr="007B4A35">
          <w:rPr>
            <w:rStyle w:val="Hyperlink"/>
          </w:rPr>
          <w:t>http://oauth.net/core/1.0</w:t>
        </w:r>
      </w:hyperlink>
      <w:bookmarkEnd w:id="13"/>
    </w:p>
    <w:p w:rsidR="00984E69" w:rsidRPr="00B35BE5" w:rsidRDefault="00984E69" w:rsidP="00984E69">
      <w:pPr>
        <w:pStyle w:val="Citation"/>
        <w:rPr>
          <w:sz w:val="22"/>
        </w:rPr>
      </w:pPr>
      <w:bookmarkStart w:id="14" w:name="_Ref99107529"/>
      <w:r w:rsidRPr="00D02782">
        <w:t xml:space="preserve">G. E. </w:t>
      </w:r>
      <w:proofErr w:type="spellStart"/>
      <w:r w:rsidRPr="00D02782">
        <w:t>Fagg</w:t>
      </w:r>
      <w:proofErr w:type="spellEnd"/>
      <w:r w:rsidRPr="00D02782">
        <w:t xml:space="preserve">, E. </w:t>
      </w:r>
      <w:proofErr w:type="spellStart"/>
      <w:r w:rsidRPr="00D02782">
        <w:t>Gaberiel</w:t>
      </w:r>
      <w:proofErr w:type="spellEnd"/>
      <w:r w:rsidRPr="00D02782">
        <w:t xml:space="preserve">, G, </w:t>
      </w:r>
      <w:proofErr w:type="spellStart"/>
      <w:r w:rsidRPr="00D02782">
        <w:t>Bosilca</w:t>
      </w:r>
      <w:proofErr w:type="spellEnd"/>
      <w:r w:rsidRPr="00D02782">
        <w:t xml:space="preserve">, T. Spring, Z. </w:t>
      </w:r>
      <w:proofErr w:type="spellStart"/>
      <w:r w:rsidRPr="00D02782">
        <w:t>Angskun</w:t>
      </w:r>
      <w:proofErr w:type="spellEnd"/>
      <w:r w:rsidRPr="00D02782">
        <w:t xml:space="preserve">, and J. Hayes, “The Network Weather Service: A Distributed Resource Performance Forecasting Service for </w:t>
      </w:r>
      <w:proofErr w:type="spellStart"/>
      <w:r w:rsidRPr="00D02782">
        <w:t>Metacomputing</w:t>
      </w:r>
      <w:proofErr w:type="spellEnd"/>
      <w:r w:rsidRPr="00D02782">
        <w:t xml:space="preserve">,” </w:t>
      </w:r>
      <w:r w:rsidRPr="00D02782">
        <w:rPr>
          <w:i/>
        </w:rPr>
        <w:t>Future Generation Computer Systems</w:t>
      </w:r>
      <w:r w:rsidRPr="00D02782">
        <w:t>, vol. 15(5-6), pp. 757-768, 1999</w:t>
      </w:r>
      <w:bookmarkEnd w:id="14"/>
    </w:p>
    <w:p w:rsidR="00984E69" w:rsidRPr="0085128F" w:rsidRDefault="00984E69" w:rsidP="00984E69">
      <w:pPr>
        <w:pStyle w:val="Citation"/>
        <w:rPr>
          <w:sz w:val="22"/>
        </w:rPr>
      </w:pPr>
      <w:bookmarkStart w:id="15" w:name="_Ref99107516"/>
      <w:r w:rsidRPr="00BA4BA3">
        <w:t xml:space="preserve">J. </w:t>
      </w:r>
      <w:proofErr w:type="spellStart"/>
      <w:r w:rsidRPr="00BA4BA3">
        <w:t>Brevik</w:t>
      </w:r>
      <w:proofErr w:type="spellEnd"/>
      <w:r w:rsidRPr="00BA4BA3">
        <w:t xml:space="preserve">, D. </w:t>
      </w:r>
      <w:proofErr w:type="spellStart"/>
      <w:r w:rsidRPr="00BA4BA3">
        <w:t>Nurmi</w:t>
      </w:r>
      <w:proofErr w:type="spellEnd"/>
      <w:r w:rsidRPr="00BA4BA3">
        <w:t xml:space="preserve">, and R. </w:t>
      </w:r>
      <w:proofErr w:type="spellStart"/>
      <w:r w:rsidRPr="00BA4BA3">
        <w:t>Wolski</w:t>
      </w:r>
      <w:proofErr w:type="spellEnd"/>
      <w:r w:rsidRPr="00BA4BA3">
        <w:t xml:space="preserve">, “Predicting Bounds on Queuing Delay for Batch-scheduled Parallel Machines,” </w:t>
      </w:r>
      <w:r w:rsidRPr="00BA4BA3">
        <w:rPr>
          <w:i/>
        </w:rPr>
        <w:t>Proceedings of the Eleventh ACM SIGPLAN Symposium on Principle and Practice of Parallel Programming</w:t>
      </w:r>
      <w:r w:rsidRPr="00BA4BA3">
        <w:t>, 2006</w:t>
      </w:r>
      <w:bookmarkEnd w:id="15"/>
    </w:p>
    <w:p w:rsidR="00D353A1" w:rsidRDefault="00984E69" w:rsidP="00D353A1">
      <w:pPr>
        <w:pStyle w:val="Citation"/>
      </w:pPr>
      <w:bookmarkStart w:id="16" w:name="_Ref99107963"/>
      <w:r w:rsidRPr="00250F66">
        <w:t xml:space="preserve">G. von </w:t>
      </w:r>
      <w:proofErr w:type="spellStart"/>
      <w:r w:rsidRPr="00250F66">
        <w:t>Laszewski</w:t>
      </w:r>
      <w:proofErr w:type="spellEnd"/>
      <w:r w:rsidRPr="00250F66">
        <w:t xml:space="preserve">, I. Foster, J. </w:t>
      </w:r>
      <w:proofErr w:type="spellStart"/>
      <w:r w:rsidRPr="00250F66">
        <w:t>Gawor</w:t>
      </w:r>
      <w:proofErr w:type="spellEnd"/>
      <w:r w:rsidRPr="00250F66">
        <w:t>, and P. Lane, “A Java Commodity Grid Kit,” Concurrency and Computation: Practice and Experience, vol. 13, no. 8-9, pp. 643–662, 2001. [Online]. Available: http://www.mcs.anl.gov/</w:t>
      </w:r>
      <w:r w:rsidRPr="00E74903">
        <w:rPr>
          <w:rFonts w:ascii="Symbol" w:hAnsi="Symbol" w:cs="Symbol"/>
        </w:rPr>
        <w:t>∼</w:t>
      </w:r>
      <w:proofErr w:type="spellStart"/>
      <w:r w:rsidRPr="00250F66">
        <w:t>gregor</w:t>
      </w:r>
      <w:proofErr w:type="spellEnd"/>
      <w:r w:rsidRPr="00250F66">
        <w:t>/papers/</w:t>
      </w:r>
      <w:proofErr w:type="spellStart"/>
      <w:r w:rsidRPr="00250F66">
        <w:t>vonLaszewski</w:t>
      </w:r>
      <w:proofErr w:type="spellEnd"/>
      <w:r w:rsidRPr="00250F66">
        <w:t>--cog-cpe-ﬁnal.pdf</w:t>
      </w:r>
      <w:bookmarkEnd w:id="16"/>
    </w:p>
    <w:p w:rsidR="00035148" w:rsidRPr="00035148" w:rsidRDefault="00035148"/>
    <w:sectPr w:rsidR="00035148" w:rsidRPr="00035148" w:rsidSect="000351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86"/>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03E290C"/>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01E213A"/>
    <w:multiLevelType w:val="hybridMultilevel"/>
    <w:tmpl w:val="E42ADB1E"/>
    <w:lvl w:ilvl="0" w:tplc="B0C85936">
      <w:start w:val="1"/>
      <w:numFmt w:val="decimal"/>
      <w:pStyle w:val="Citatio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E2417"/>
    <w:multiLevelType w:val="hybridMultilevel"/>
    <w:tmpl w:val="99C2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C5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D636DA"/>
    <w:multiLevelType w:val="multilevel"/>
    <w:tmpl w:val="88A234DC"/>
    <w:lvl w:ilvl="0">
      <w:start w:val="1"/>
      <w:numFmt w:val="decimal"/>
      <w:lvlText w:val="%1."/>
      <w:lvlJc w:val="left"/>
      <w:pPr>
        <w:ind w:left="720" w:hanging="360"/>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584" w:hanging="1224"/>
      </w:pPr>
      <w:rPr>
        <w:rFonts w:hint="default"/>
      </w:rPr>
    </w:lvl>
    <w:lvl w:ilvl="3">
      <w:start w:val="1"/>
      <w:numFmt w:val="decimal"/>
      <w:lvlText w:val="%1.%2.%3.%4."/>
      <w:lvlJc w:val="left"/>
      <w:pPr>
        <w:ind w:left="2088" w:hanging="172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49B18B4"/>
    <w:multiLevelType w:val="multilevel"/>
    <w:tmpl w:val="79B8055A"/>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3542A6"/>
    <w:multiLevelType w:val="multilevel"/>
    <w:tmpl w:val="88A234DC"/>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152" w:hanging="792"/>
      </w:pPr>
      <w:rPr>
        <w:rFonts w:hint="default"/>
      </w:rPr>
    </w:lvl>
    <w:lvl w:ilvl="2">
      <w:start w:val="1"/>
      <w:numFmt w:val="decimal"/>
      <w:lvlText w:val="%1.%2.%3."/>
      <w:lvlJc w:val="left"/>
      <w:pPr>
        <w:ind w:left="1584" w:hanging="1224"/>
      </w:pPr>
      <w:rPr>
        <w:rFonts w:hint="default"/>
      </w:rPr>
    </w:lvl>
    <w:lvl w:ilvl="3">
      <w:start w:val="1"/>
      <w:numFmt w:val="decimal"/>
      <w:lvlText w:val="%1.%2.%3.%4."/>
      <w:lvlJc w:val="left"/>
      <w:pPr>
        <w:ind w:left="2088" w:hanging="172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335B5DE8"/>
    <w:multiLevelType w:val="multilevel"/>
    <w:tmpl w:val="863AC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5E76317E"/>
    <w:multiLevelType w:val="multilevel"/>
    <w:tmpl w:val="863AC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9E53B45"/>
    <w:multiLevelType w:val="multilevel"/>
    <w:tmpl w:val="5DD2B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2"/>
  </w:num>
  <w:num w:numId="6">
    <w:abstractNumId w:val="3"/>
  </w:num>
  <w:num w:numId="7">
    <w:abstractNumId w:val="1"/>
  </w:num>
  <w:num w:numId="8">
    <w:abstractNumId w:val="10"/>
  </w:num>
  <w:num w:numId="9">
    <w:abstractNumId w:val="7"/>
  </w:num>
  <w:num w:numId="10">
    <w:abstractNumId w:val="9"/>
  </w:num>
  <w:num w:numId="11">
    <w:abstractNumId w:val="5"/>
  </w:num>
  <w:num w:numId="12">
    <w:abstractNumId w:val="8"/>
  </w:num>
  <w:num w:numId="13">
    <w:abstractNumId w:val="11"/>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35148"/>
    <w:rsid w:val="00035148"/>
    <w:rsid w:val="000C5AD6"/>
    <w:rsid w:val="000D6E85"/>
    <w:rsid w:val="0010345C"/>
    <w:rsid w:val="001A3F5F"/>
    <w:rsid w:val="002502B1"/>
    <w:rsid w:val="00271ADF"/>
    <w:rsid w:val="003622B3"/>
    <w:rsid w:val="00367974"/>
    <w:rsid w:val="00415E7A"/>
    <w:rsid w:val="00440D69"/>
    <w:rsid w:val="0045108E"/>
    <w:rsid w:val="005335F8"/>
    <w:rsid w:val="00537D74"/>
    <w:rsid w:val="005628A1"/>
    <w:rsid w:val="005A7258"/>
    <w:rsid w:val="005C0002"/>
    <w:rsid w:val="0067232A"/>
    <w:rsid w:val="006C0023"/>
    <w:rsid w:val="00780A56"/>
    <w:rsid w:val="0085128F"/>
    <w:rsid w:val="008B7757"/>
    <w:rsid w:val="008F03BF"/>
    <w:rsid w:val="00937883"/>
    <w:rsid w:val="009506E0"/>
    <w:rsid w:val="00984E69"/>
    <w:rsid w:val="009F775F"/>
    <w:rsid w:val="00A25B13"/>
    <w:rsid w:val="00A703D4"/>
    <w:rsid w:val="00AB7F01"/>
    <w:rsid w:val="00B1418E"/>
    <w:rsid w:val="00B66320"/>
    <w:rsid w:val="00B844AE"/>
    <w:rsid w:val="00BC7A5C"/>
    <w:rsid w:val="00C20B03"/>
    <w:rsid w:val="00C63BB7"/>
    <w:rsid w:val="00CA0162"/>
    <w:rsid w:val="00CC3551"/>
    <w:rsid w:val="00CC77C2"/>
    <w:rsid w:val="00CF459F"/>
    <w:rsid w:val="00D11D9F"/>
    <w:rsid w:val="00D353A1"/>
    <w:rsid w:val="00DE1F09"/>
    <w:rsid w:val="00DF0677"/>
    <w:rsid w:val="00ED0F61"/>
    <w:rsid w:val="00F20A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aption" w:qFormat="1"/>
    <w:lsdException w:name="Hyperlink" w:uiPriority="99"/>
  </w:latentStyles>
  <w:style w:type="paragraph" w:default="1" w:styleId="Normal">
    <w:name w:val="Normal"/>
    <w:qFormat/>
    <w:rsid w:val="001A3F5F"/>
    <w:pPr>
      <w:autoSpaceDE w:val="0"/>
      <w:autoSpaceDN w:val="0"/>
      <w:spacing w:after="0"/>
      <w:ind w:firstLine="360"/>
      <w:jc w:val="both"/>
    </w:pPr>
    <w:rPr>
      <w:rFonts w:ascii="Arial" w:hAnsi="Arial"/>
      <w:sz w:val="20"/>
    </w:rPr>
  </w:style>
  <w:style w:type="paragraph" w:styleId="Heading1">
    <w:name w:val="heading 1"/>
    <w:basedOn w:val="Normal"/>
    <w:next w:val="Normal"/>
    <w:qFormat/>
    <w:rsid w:val="000C5AD6"/>
    <w:pPr>
      <w:keepNext/>
      <w:numPr>
        <w:numId w:val="14"/>
      </w:numPr>
      <w:spacing w:before="120" w:after="80"/>
      <w:outlineLvl w:val="0"/>
    </w:pPr>
    <w:rPr>
      <w:b/>
      <w:kern w:val="28"/>
      <w:sz w:val="24"/>
    </w:rPr>
  </w:style>
  <w:style w:type="paragraph" w:styleId="Heading2">
    <w:name w:val="heading 2"/>
    <w:basedOn w:val="Normal"/>
    <w:next w:val="Normal"/>
    <w:qFormat/>
    <w:rsid w:val="000C5AD6"/>
    <w:pPr>
      <w:keepNext/>
      <w:numPr>
        <w:ilvl w:val="1"/>
        <w:numId w:val="14"/>
      </w:numPr>
      <w:spacing w:before="120" w:after="60"/>
      <w:outlineLvl w:val="1"/>
    </w:pPr>
    <w:rPr>
      <w:i/>
      <w:iCs/>
    </w:rPr>
  </w:style>
  <w:style w:type="paragraph" w:styleId="Heading3">
    <w:name w:val="heading 3"/>
    <w:basedOn w:val="Normal"/>
    <w:next w:val="Normal"/>
    <w:qFormat/>
    <w:rsid w:val="001D7C97"/>
    <w:pPr>
      <w:keepNext/>
      <w:numPr>
        <w:ilvl w:val="2"/>
        <w:numId w:val="4"/>
      </w:numPr>
      <w:outlineLvl w:val="2"/>
    </w:pPr>
    <w:rPr>
      <w:i/>
      <w:iCs/>
    </w:rPr>
  </w:style>
  <w:style w:type="paragraph" w:styleId="Heading4">
    <w:name w:val="heading 4"/>
    <w:basedOn w:val="Normal"/>
    <w:next w:val="Normal"/>
    <w:qFormat/>
    <w:rsid w:val="001D7C97"/>
    <w:pPr>
      <w:keepNext/>
      <w:numPr>
        <w:ilvl w:val="3"/>
        <w:numId w:val="4"/>
      </w:numPr>
      <w:spacing w:before="240" w:after="60"/>
      <w:outlineLvl w:val="3"/>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D7C97"/>
    <w:pPr>
      <w:spacing w:before="20"/>
      <w:ind w:firstLine="202"/>
    </w:pPr>
    <w:rPr>
      <w:b/>
      <w:bCs/>
      <w:sz w:val="18"/>
      <w:szCs w:val="18"/>
    </w:rPr>
  </w:style>
  <w:style w:type="paragraph" w:customStyle="1" w:styleId="Authors">
    <w:name w:val="Authors"/>
    <w:basedOn w:val="Normal"/>
    <w:next w:val="Normal"/>
    <w:rsid w:val="001D7C97"/>
    <w:pPr>
      <w:framePr w:w="9072" w:hSpace="187" w:vSpace="187" w:wrap="notBeside" w:vAnchor="text" w:hAnchor="page" w:xAlign="center" w:y="1"/>
      <w:spacing w:after="320"/>
      <w:jc w:val="center"/>
    </w:pPr>
    <w:rPr>
      <w:szCs w:val="22"/>
    </w:rPr>
  </w:style>
  <w:style w:type="paragraph" w:styleId="BodyTextIndent">
    <w:name w:val="Body Text Indent"/>
    <w:basedOn w:val="Normal"/>
    <w:rsid w:val="001D7C97"/>
    <w:pPr>
      <w:ind w:left="630" w:hanging="630"/>
    </w:pPr>
  </w:style>
  <w:style w:type="paragraph" w:customStyle="1" w:styleId="Equation">
    <w:name w:val="Equation"/>
    <w:basedOn w:val="Normal"/>
    <w:next w:val="Normal"/>
    <w:rsid w:val="001D7C97"/>
    <w:pPr>
      <w:widowControl w:val="0"/>
      <w:tabs>
        <w:tab w:val="right" w:pos="5040"/>
      </w:tabs>
      <w:spacing w:line="252" w:lineRule="auto"/>
    </w:pPr>
  </w:style>
  <w:style w:type="paragraph" w:customStyle="1" w:styleId="FigureCaption">
    <w:name w:val="Figure Caption"/>
    <w:basedOn w:val="Normal"/>
    <w:rsid w:val="001D7C97"/>
    <w:rPr>
      <w:sz w:val="16"/>
      <w:szCs w:val="16"/>
    </w:rPr>
  </w:style>
  <w:style w:type="character" w:styleId="FollowedHyperlink">
    <w:name w:val="FollowedHyperlink"/>
    <w:basedOn w:val="DefaultParagraphFont"/>
    <w:rsid w:val="001D7C97"/>
    <w:rPr>
      <w:color w:val="800080"/>
      <w:u w:val="single"/>
    </w:rPr>
  </w:style>
  <w:style w:type="paragraph" w:styleId="Header">
    <w:name w:val="header"/>
    <w:basedOn w:val="Normal"/>
    <w:rsid w:val="001D7C97"/>
    <w:pPr>
      <w:tabs>
        <w:tab w:val="center" w:pos="4320"/>
        <w:tab w:val="right" w:pos="8640"/>
      </w:tabs>
    </w:pPr>
  </w:style>
  <w:style w:type="paragraph" w:customStyle="1" w:styleId="Text">
    <w:name w:val="Text"/>
    <w:basedOn w:val="Normal"/>
    <w:rsid w:val="001D7C97"/>
    <w:pPr>
      <w:widowControl w:val="0"/>
      <w:spacing w:line="252" w:lineRule="auto"/>
      <w:ind w:firstLine="202"/>
    </w:pPr>
  </w:style>
  <w:style w:type="paragraph" w:styleId="Title">
    <w:name w:val="Title"/>
    <w:basedOn w:val="Normal"/>
    <w:next w:val="Normal"/>
    <w:qFormat/>
    <w:rsid w:val="001D7C97"/>
    <w:pPr>
      <w:framePr w:w="9360" w:hSpace="187" w:vSpace="187" w:wrap="notBeside" w:vAnchor="text" w:hAnchor="page" w:xAlign="center" w:y="1"/>
      <w:jc w:val="center"/>
    </w:pPr>
    <w:rPr>
      <w:kern w:val="28"/>
      <w:sz w:val="48"/>
      <w:szCs w:val="48"/>
    </w:rPr>
  </w:style>
  <w:style w:type="paragraph" w:styleId="ListParagraph">
    <w:name w:val="List Paragraph"/>
    <w:basedOn w:val="Normal"/>
    <w:uiPriority w:val="34"/>
    <w:qFormat/>
    <w:rsid w:val="00035148"/>
    <w:pPr>
      <w:ind w:left="720"/>
      <w:contextualSpacing/>
    </w:pPr>
  </w:style>
  <w:style w:type="character" w:styleId="Hyperlink">
    <w:name w:val="Hyperlink"/>
    <w:basedOn w:val="DefaultParagraphFont"/>
    <w:uiPriority w:val="99"/>
    <w:rsid w:val="00A703D4"/>
    <w:rPr>
      <w:color w:val="0000FF" w:themeColor="hyperlink"/>
      <w:u w:val="single"/>
    </w:rPr>
  </w:style>
  <w:style w:type="paragraph" w:customStyle="1" w:styleId="Affiliation">
    <w:name w:val="Affiliation"/>
    <w:basedOn w:val="Normal"/>
    <w:qFormat/>
    <w:rsid w:val="005335F8"/>
    <w:rPr>
      <w:rFonts w:ascii="Times New Roman" w:hAnsi="Times New Roman"/>
      <w:vertAlign w:val="superscript"/>
    </w:rPr>
  </w:style>
  <w:style w:type="paragraph" w:customStyle="1" w:styleId="Citation">
    <w:name w:val="Citation"/>
    <w:basedOn w:val="ListParagraph"/>
    <w:qFormat/>
    <w:rsid w:val="006C0023"/>
    <w:pPr>
      <w:numPr>
        <w:numId w:val="7"/>
      </w:numPr>
      <w:spacing w:before="120" w:after="120"/>
    </w:pPr>
  </w:style>
  <w:style w:type="paragraph" w:styleId="Caption">
    <w:name w:val="caption"/>
    <w:basedOn w:val="Normal"/>
    <w:next w:val="Normal"/>
    <w:qFormat/>
    <w:rsid w:val="008B7757"/>
    <w:rPr>
      <w:b/>
      <w:bCs/>
      <w:sz w:val="18"/>
      <w:szCs w:val="18"/>
    </w:rPr>
  </w:style>
  <w:style w:type="paragraph" w:customStyle="1" w:styleId="References">
    <w:name w:val="References"/>
    <w:basedOn w:val="Normal"/>
    <w:rsid w:val="0045108E"/>
    <w:pPr>
      <w:numPr>
        <w:numId w:val="12"/>
      </w:numPr>
    </w:pPr>
    <w:rPr>
      <w:rFonts w:ascii="Times New Roman" w:eastAsia="Times New Roman" w:hAnsi="Times New Roman" w:cs="Times New Roman"/>
      <w:sz w:val="16"/>
      <w:szCs w:val="16"/>
    </w:rPr>
  </w:style>
  <w:style w:type="paragraph" w:customStyle="1" w:styleId="Default">
    <w:name w:val="Default"/>
    <w:qFormat/>
    <w:rsid w:val="0085128F"/>
    <w:pPr>
      <w:suppressAutoHyphens/>
      <w:spacing w:after="0"/>
    </w:pPr>
    <w:rPr>
      <w:rFonts w:ascii="Cambria" w:eastAsia="SimSun" w:hAnsi="Cambria" w:cs="font194"/>
      <w:kern w:val="1"/>
      <w:lang w:eastAsia="ar-SA"/>
    </w:rPr>
  </w:style>
  <w:style w:type="character" w:customStyle="1" w:styleId="Absatz-Standardschriftart">
    <w:name w:val="Absatz-Standardschriftart"/>
    <w:rsid w:val="0085128F"/>
  </w:style>
  <w:style w:type="paragraph" w:customStyle="1" w:styleId="Heading">
    <w:name w:val="Heading"/>
    <w:basedOn w:val="Default"/>
    <w:next w:val="Textbody"/>
    <w:rsid w:val="0085128F"/>
    <w:pPr>
      <w:keepNext/>
      <w:spacing w:before="240" w:after="120"/>
    </w:pPr>
    <w:rPr>
      <w:rFonts w:ascii="Arial" w:hAnsi="Arial" w:cs="Tahoma"/>
      <w:sz w:val="28"/>
      <w:szCs w:val="28"/>
    </w:rPr>
  </w:style>
  <w:style w:type="paragraph" w:customStyle="1" w:styleId="Textbody">
    <w:name w:val="Text body"/>
    <w:basedOn w:val="Default"/>
    <w:rsid w:val="0085128F"/>
    <w:pPr>
      <w:spacing w:after="120"/>
    </w:pPr>
  </w:style>
  <w:style w:type="paragraph" w:styleId="List">
    <w:name w:val="List"/>
    <w:basedOn w:val="Textbody"/>
    <w:rsid w:val="0085128F"/>
    <w:rPr>
      <w:rFonts w:cs="Tahoma"/>
    </w:rPr>
  </w:style>
  <w:style w:type="paragraph" w:customStyle="1" w:styleId="Index">
    <w:name w:val="Index"/>
    <w:basedOn w:val="Default"/>
    <w:rsid w:val="0085128F"/>
    <w:pPr>
      <w:suppressLineNumbers/>
    </w:pPr>
    <w:rPr>
      <w:rFonts w:cs="Tahoma"/>
    </w:rPr>
  </w:style>
  <w:style w:type="paragraph" w:customStyle="1" w:styleId="MyTitle">
    <w:name w:val="MyTitle"/>
    <w:basedOn w:val="Heading1"/>
    <w:qFormat/>
    <w:rsid w:val="000C5AD6"/>
    <w:pPr>
      <w:numPr>
        <w:numId w:val="0"/>
      </w:numPr>
      <w:jc w:val="center"/>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nsocia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teragrid.org" TargetMode="External"/><Relationship Id="rId12" Type="http://schemas.openxmlformats.org/officeDocument/2006/relationships/hyperlink" Target="http://ogce.svn.sourceforge.net/viewvc/og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auth.net/core/1.0" TargetMode="External"/><Relationship Id="rId1" Type="http://schemas.openxmlformats.org/officeDocument/2006/relationships/numbering" Target="numbering.xml"/><Relationship Id="rId6" Type="http://schemas.openxmlformats.org/officeDocument/2006/relationships/hyperlink" Target="http://www.gridport.net/services/gpir/" TargetMode="External"/><Relationship Id="rId11" Type="http://schemas.openxmlformats.org/officeDocument/2006/relationships/hyperlink" Target="http://sourceforge.net/projects/ogce" TargetMode="External"/><Relationship Id="rId5" Type="http://schemas.openxmlformats.org/officeDocument/2006/relationships/hyperlink" Target="http://inca.sdsc.edu/" TargetMode="External"/><Relationship Id="rId15" Type="http://schemas.openxmlformats.org/officeDocument/2006/relationships/hyperlink" Target="http://incubator.apache.org/shindig/" TargetMode="External"/><Relationship Id="rId10" Type="http://schemas.openxmlformats.org/officeDocument/2006/relationships/hyperlink" Target="http://collab-ogce.blogspot.com/feeds/posts/default" TargetMode="External"/><Relationship Id="rId4" Type="http://schemas.openxmlformats.org/officeDocument/2006/relationships/webSettings" Target="webSettings.xml"/><Relationship Id="rId9" Type="http://schemas.openxmlformats.org/officeDocument/2006/relationships/hyperlink" Target="http://www.collab-ogce.org" TargetMode="External"/><Relationship Id="rId14" Type="http://schemas.openxmlformats.org/officeDocument/2006/relationships/hyperlink" Target="http://code.google.com/apis/igoogle/docs/igoogledev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2469</Words>
  <Characters>14075</Characters>
  <Application>Microsoft Office Word</Application>
  <DocSecurity>0</DocSecurity>
  <Lines>117</Lines>
  <Paragraphs>33</Paragraphs>
  <ScaleCrop>false</ScaleCrop>
  <Company>Indiana University</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Pierce</dc:creator>
  <cp:keywords/>
  <cp:lastModifiedBy> </cp:lastModifiedBy>
  <cp:revision>24</cp:revision>
  <cp:lastPrinted>2009-06-13T21:44:00Z</cp:lastPrinted>
  <dcterms:created xsi:type="dcterms:W3CDTF">2009-03-17T01:26:00Z</dcterms:created>
  <dcterms:modified xsi:type="dcterms:W3CDTF">2009-06-13T21:47:00Z</dcterms:modified>
</cp:coreProperties>
</file>