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43" w:rsidRPr="007237F5" w:rsidRDefault="007A3943" w:rsidP="007A3943">
      <w:pPr>
        <w:jc w:val="center"/>
        <w:rPr>
          <w:rFonts w:asciiTheme="majorHAnsi" w:hAnsiTheme="majorHAnsi" w:cs="Arial"/>
          <w:b/>
        </w:rPr>
      </w:pPr>
      <w:r w:rsidRPr="007237F5">
        <w:rPr>
          <w:rFonts w:asciiTheme="majorHAnsi" w:hAnsiTheme="majorHAnsi" w:cs="Arial"/>
          <w:b/>
        </w:rPr>
        <w:t xml:space="preserve">Proposal for Demo at </w:t>
      </w:r>
      <w:proofErr w:type="spellStart"/>
      <w:r w:rsidRPr="007237F5">
        <w:rPr>
          <w:rFonts w:asciiTheme="majorHAnsi" w:hAnsiTheme="majorHAnsi" w:cs="Arial"/>
          <w:b/>
        </w:rPr>
        <w:t>CCGrid</w:t>
      </w:r>
      <w:proofErr w:type="spellEnd"/>
      <w:r w:rsidRPr="007237F5">
        <w:rPr>
          <w:rFonts w:asciiTheme="majorHAnsi" w:hAnsiTheme="majorHAnsi" w:cs="Arial"/>
          <w:b/>
        </w:rPr>
        <w:t xml:space="preserve"> 2010</w:t>
      </w:r>
    </w:p>
    <w:p w:rsidR="007A3943" w:rsidRDefault="007A3943" w:rsidP="007A3943">
      <w:pPr>
        <w:jc w:val="center"/>
        <w:rPr>
          <w:rFonts w:asciiTheme="majorHAnsi" w:hAnsiTheme="majorHAnsi" w:cs="Arial"/>
          <w:b/>
        </w:rPr>
      </w:pPr>
    </w:p>
    <w:p w:rsidR="007A3943" w:rsidRPr="007A3943" w:rsidRDefault="007A3943" w:rsidP="007A3943">
      <w:pPr>
        <w:jc w:val="center"/>
        <w:rPr>
          <w:rFonts w:asciiTheme="majorHAnsi" w:hAnsiTheme="majorHAnsi" w:cs="Arial"/>
          <w:b/>
        </w:rPr>
      </w:pPr>
    </w:p>
    <w:p w:rsidR="002F59E9" w:rsidRPr="00325EE3" w:rsidRDefault="002F59E9" w:rsidP="002F59E9">
      <w:pPr>
        <w:jc w:val="both"/>
        <w:rPr>
          <w:rFonts w:asciiTheme="majorHAnsi" w:eastAsia="Times New Roman" w:hAnsiTheme="majorHAnsi" w:cs="Arial"/>
          <w:sz w:val="20"/>
          <w:szCs w:val="20"/>
          <w:lang/>
        </w:rPr>
      </w:pPr>
      <w:hyperlink r:id="rId5" w:history="1">
        <w:r w:rsidRPr="00EE325A">
          <w:rPr>
            <w:rFonts w:asciiTheme="majorHAnsi" w:eastAsia="Times New Roman" w:hAnsiTheme="majorHAnsi"/>
            <w:b/>
            <w:bCs/>
            <w:color w:val="990000"/>
            <w:sz w:val="20"/>
            <w:szCs w:val="20"/>
          </w:rPr>
          <w:t>SALSA project</w:t>
        </w:r>
      </w:hyperlink>
      <w:r w:rsidRPr="00325EE3">
        <w:rPr>
          <w:rFonts w:asciiTheme="majorHAnsi" w:eastAsia="Times New Roman" w:hAnsiTheme="majorHAnsi" w:cs="Arial"/>
          <w:sz w:val="20"/>
          <w:szCs w:val="20"/>
          <w:lang/>
        </w:rPr>
        <w:t xml:space="preserve"> (salsahpc.indiana.edu) investigates new programming models of parallel </w:t>
      </w:r>
      <w:proofErr w:type="spellStart"/>
      <w:r w:rsidRPr="00325EE3">
        <w:rPr>
          <w:rFonts w:asciiTheme="majorHAnsi" w:eastAsia="Times New Roman" w:hAnsiTheme="majorHAnsi" w:cs="Arial"/>
          <w:sz w:val="20"/>
          <w:szCs w:val="20"/>
          <w:lang/>
        </w:rPr>
        <w:t>multicore</w:t>
      </w:r>
      <w:proofErr w:type="spellEnd"/>
      <w:r w:rsidRPr="00325EE3">
        <w:rPr>
          <w:rFonts w:asciiTheme="majorHAnsi" w:eastAsia="Times New Roman" w:hAnsiTheme="majorHAnsi" w:cs="Arial"/>
          <w:sz w:val="20"/>
          <w:szCs w:val="20"/>
          <w:lang/>
        </w:rPr>
        <w:t xml:space="preserve"> computing and Cloud/Grid computing. It aims at developing and applying parallel and distributed </w:t>
      </w:r>
      <w:proofErr w:type="spellStart"/>
      <w:r w:rsidRPr="00325EE3">
        <w:rPr>
          <w:rFonts w:asciiTheme="majorHAnsi" w:eastAsia="Times New Roman" w:hAnsiTheme="majorHAnsi" w:cs="Arial"/>
          <w:sz w:val="20"/>
          <w:szCs w:val="20"/>
          <w:lang/>
        </w:rPr>
        <w:t>Cyberinfrastructure</w:t>
      </w:r>
      <w:proofErr w:type="spellEnd"/>
      <w:r w:rsidRPr="00325EE3">
        <w:rPr>
          <w:rFonts w:asciiTheme="majorHAnsi" w:eastAsia="Times New Roman" w:hAnsiTheme="majorHAnsi" w:cs="Arial"/>
          <w:sz w:val="20"/>
          <w:szCs w:val="20"/>
          <w:lang/>
        </w:rPr>
        <w:t xml:space="preserve"> to support large scale data analysis.</w:t>
      </w:r>
      <w:r w:rsidR="0063353E">
        <w:rPr>
          <w:rFonts w:asciiTheme="majorHAnsi" w:eastAsia="Times New Roman" w:hAnsiTheme="majorHAnsi" w:cs="Arial"/>
          <w:sz w:val="20"/>
          <w:szCs w:val="20"/>
          <w:lang/>
        </w:rPr>
        <w:t xml:space="preserve"> </w:t>
      </w:r>
      <w:r w:rsidR="00D01E68">
        <w:rPr>
          <w:rFonts w:asciiTheme="majorHAnsi" w:eastAsia="Times New Roman" w:hAnsiTheme="majorHAnsi" w:cs="Arial"/>
          <w:sz w:val="20"/>
          <w:szCs w:val="20"/>
          <w:lang/>
        </w:rPr>
        <w:t xml:space="preserve">We choose one project for life sciences and present </w:t>
      </w:r>
      <w:proofErr w:type="spellStart"/>
      <w:r w:rsidR="00D01E68">
        <w:rPr>
          <w:rFonts w:asciiTheme="majorHAnsi" w:eastAsia="Times New Roman" w:hAnsiTheme="majorHAnsi" w:cs="Arial"/>
          <w:sz w:val="20"/>
          <w:szCs w:val="20"/>
          <w:lang/>
        </w:rPr>
        <w:t>PubChemBrowse</w:t>
      </w:r>
      <w:proofErr w:type="spellEnd"/>
      <w:r w:rsidR="00D01E68">
        <w:rPr>
          <w:rFonts w:asciiTheme="majorHAnsi" w:eastAsia="Times New Roman" w:hAnsiTheme="majorHAnsi" w:cs="Arial"/>
          <w:sz w:val="20"/>
          <w:szCs w:val="20"/>
          <w:lang/>
        </w:rPr>
        <w:t xml:space="preserve">, a customized visualization tool for </w:t>
      </w:r>
      <w:proofErr w:type="spellStart"/>
      <w:r w:rsidR="00D01E68">
        <w:rPr>
          <w:rFonts w:asciiTheme="majorHAnsi" w:eastAsia="Times New Roman" w:hAnsiTheme="majorHAnsi" w:cs="Arial"/>
          <w:sz w:val="20"/>
          <w:szCs w:val="20"/>
          <w:lang/>
        </w:rPr>
        <w:t>Cheminformatics</w:t>
      </w:r>
      <w:proofErr w:type="spellEnd"/>
      <w:r w:rsidR="00D01E68">
        <w:rPr>
          <w:rFonts w:asciiTheme="majorHAnsi" w:eastAsia="Times New Roman" w:hAnsiTheme="majorHAnsi" w:cs="Arial"/>
          <w:sz w:val="20"/>
          <w:szCs w:val="20"/>
          <w:lang/>
        </w:rPr>
        <w:t xml:space="preserve"> research. </w:t>
      </w:r>
      <w:r w:rsidR="0063353E">
        <w:rPr>
          <w:rFonts w:asciiTheme="majorHAnsi" w:eastAsia="Times New Roman" w:hAnsiTheme="majorHAnsi" w:cs="Arial"/>
          <w:sz w:val="20"/>
          <w:szCs w:val="20"/>
          <w:lang/>
        </w:rPr>
        <w:t>Visualization of large-scale high dimensional data tool is highly valuable for scientific discovery in many fields. It provides a novel 3D data point browser that displ</w:t>
      </w:r>
      <w:r w:rsidR="00D01E68">
        <w:rPr>
          <w:rFonts w:asciiTheme="majorHAnsi" w:eastAsia="Times New Roman" w:hAnsiTheme="majorHAnsi" w:cs="Arial"/>
          <w:sz w:val="20"/>
          <w:szCs w:val="20"/>
          <w:lang/>
        </w:rPr>
        <w:t>a</w:t>
      </w:r>
      <w:r w:rsidR="0063353E">
        <w:rPr>
          <w:rFonts w:asciiTheme="majorHAnsi" w:eastAsia="Times New Roman" w:hAnsiTheme="majorHAnsi" w:cs="Arial"/>
          <w:sz w:val="20"/>
          <w:szCs w:val="20"/>
          <w:lang/>
        </w:rPr>
        <w:t>ys complex properties of massive data on commodity clients. As in GIS browsers fo</w:t>
      </w:r>
      <w:r w:rsidR="00D01E68">
        <w:rPr>
          <w:rFonts w:asciiTheme="majorHAnsi" w:eastAsia="Times New Roman" w:hAnsiTheme="majorHAnsi" w:cs="Arial"/>
          <w:sz w:val="20"/>
          <w:szCs w:val="20"/>
          <w:lang/>
        </w:rPr>
        <w:t>r</w:t>
      </w:r>
      <w:r w:rsidR="0063353E">
        <w:rPr>
          <w:rFonts w:asciiTheme="majorHAnsi" w:eastAsia="Times New Roman" w:hAnsiTheme="majorHAnsi" w:cs="Arial"/>
          <w:sz w:val="20"/>
          <w:szCs w:val="20"/>
          <w:lang/>
        </w:rPr>
        <w:t xml:space="preserve"> Earth and Environment data, chemical compounds with similar properties are nearby in the </w:t>
      </w:r>
      <w:r w:rsidR="00D01E68">
        <w:rPr>
          <w:rFonts w:asciiTheme="majorHAnsi" w:eastAsia="Times New Roman" w:hAnsiTheme="majorHAnsi" w:cs="Arial"/>
          <w:sz w:val="20"/>
          <w:szCs w:val="20"/>
          <w:lang/>
        </w:rPr>
        <w:t xml:space="preserve">high dimensional space. </w:t>
      </w:r>
      <w:proofErr w:type="spellStart"/>
      <w:r w:rsidR="00D01E68">
        <w:rPr>
          <w:rFonts w:asciiTheme="majorHAnsi" w:eastAsia="Times New Roman" w:hAnsiTheme="majorHAnsi" w:cs="Arial"/>
          <w:sz w:val="20"/>
          <w:szCs w:val="20"/>
          <w:lang/>
        </w:rPr>
        <w:t>PubChemBrowse</w:t>
      </w:r>
      <w:proofErr w:type="spellEnd"/>
      <w:r w:rsidR="00D01E68">
        <w:rPr>
          <w:rFonts w:asciiTheme="majorHAnsi" w:eastAsia="Times New Roman" w:hAnsiTheme="majorHAnsi" w:cs="Arial"/>
          <w:sz w:val="20"/>
          <w:szCs w:val="20"/>
          <w:lang/>
        </w:rPr>
        <w:t xml:space="preserve"> is built around in-house high performance parallel MDS (Multi-Dimensional Scaling) and GTM (Generative Topographic Mapping) [1] [2] services and supports fast interaction with an external biochemical repository database.</w:t>
      </w:r>
    </w:p>
    <w:p w:rsidR="002F59E9" w:rsidRPr="002F59E9" w:rsidRDefault="002F59E9" w:rsidP="007A3943">
      <w:pPr>
        <w:rPr>
          <w:rFonts w:asciiTheme="majorHAnsi" w:hAnsiTheme="majorHAnsi" w:cs="Arial"/>
          <w:sz w:val="20"/>
          <w:szCs w:val="20"/>
          <w:lang/>
        </w:rPr>
      </w:pPr>
    </w:p>
    <w:p w:rsidR="007A3943" w:rsidRPr="007A3943" w:rsidRDefault="007A3943" w:rsidP="007A3943">
      <w:pPr>
        <w:rPr>
          <w:rFonts w:asciiTheme="majorHAnsi" w:hAnsiTheme="majorHAnsi" w:cs="Arial"/>
          <w:sz w:val="20"/>
          <w:szCs w:val="20"/>
        </w:rPr>
      </w:pPr>
      <w:r w:rsidRPr="007A3943">
        <w:rPr>
          <w:rFonts w:asciiTheme="majorHAnsi" w:hAnsiTheme="majorHAnsi" w:cs="Arial"/>
          <w:sz w:val="20"/>
          <w:szCs w:val="20"/>
        </w:rPr>
        <w:t xml:space="preserve">We demonstrate the following key features of </w:t>
      </w:r>
      <w:proofErr w:type="spellStart"/>
      <w:r w:rsidRPr="007A3943">
        <w:rPr>
          <w:rFonts w:asciiTheme="majorHAnsi" w:hAnsiTheme="majorHAnsi" w:cs="Arial"/>
          <w:sz w:val="20"/>
          <w:szCs w:val="20"/>
        </w:rPr>
        <w:t>PubChemBrowse</w:t>
      </w:r>
      <w:proofErr w:type="spellEnd"/>
      <w:r w:rsidRPr="007A3943">
        <w:rPr>
          <w:rFonts w:asciiTheme="majorHAnsi" w:hAnsiTheme="majorHAnsi" w:cs="Arial"/>
          <w:sz w:val="20"/>
          <w:szCs w:val="20"/>
        </w:rPr>
        <w:t>:</w:t>
      </w:r>
    </w:p>
    <w:p w:rsidR="007A3943" w:rsidRPr="007A3943" w:rsidRDefault="007A3943" w:rsidP="007A3943">
      <w:pPr>
        <w:pStyle w:val="ListParagraph"/>
        <w:numPr>
          <w:ilvl w:val="0"/>
          <w:numId w:val="1"/>
        </w:numPr>
        <w:ind w:left="450" w:hanging="270"/>
        <w:jc w:val="both"/>
        <w:rPr>
          <w:rFonts w:asciiTheme="majorHAnsi" w:hAnsiTheme="majorHAnsi" w:cs="Arial"/>
          <w:sz w:val="20"/>
          <w:szCs w:val="20"/>
        </w:rPr>
      </w:pPr>
      <w:r w:rsidRPr="007A3943">
        <w:rPr>
          <w:rFonts w:asciiTheme="majorHAnsi" w:hAnsiTheme="majorHAnsi" w:cs="Arial"/>
          <w:sz w:val="20"/>
          <w:szCs w:val="20"/>
        </w:rPr>
        <w:t>A lightweight 3D data visualization client to browse large (up to a few millions) and high-dimensional data backed by high-performance cloud technology [3].</w:t>
      </w:r>
    </w:p>
    <w:p w:rsidR="007A3943" w:rsidRPr="007A3943" w:rsidRDefault="007A3943" w:rsidP="007A3943">
      <w:pPr>
        <w:pStyle w:val="ListParagraph"/>
        <w:numPr>
          <w:ilvl w:val="0"/>
          <w:numId w:val="1"/>
        </w:numPr>
        <w:ind w:left="450" w:hanging="270"/>
        <w:jc w:val="both"/>
        <w:rPr>
          <w:rFonts w:asciiTheme="majorHAnsi" w:hAnsiTheme="majorHAnsi" w:cs="Arial"/>
          <w:sz w:val="20"/>
          <w:szCs w:val="20"/>
        </w:rPr>
      </w:pPr>
      <w:r w:rsidRPr="007A3943">
        <w:rPr>
          <w:rFonts w:asciiTheme="majorHAnsi" w:hAnsiTheme="majorHAnsi" w:cs="Arial"/>
          <w:sz w:val="20"/>
          <w:szCs w:val="20"/>
        </w:rPr>
        <w:t>Displaying various kinds of meta-data as extra information.</w:t>
      </w:r>
    </w:p>
    <w:p w:rsidR="007A3943" w:rsidRPr="007A3943" w:rsidRDefault="007A3943" w:rsidP="007A3943">
      <w:pPr>
        <w:pStyle w:val="ListParagraph"/>
        <w:numPr>
          <w:ilvl w:val="0"/>
          <w:numId w:val="1"/>
        </w:numPr>
        <w:ind w:left="450" w:hanging="270"/>
        <w:jc w:val="both"/>
        <w:rPr>
          <w:rFonts w:asciiTheme="majorHAnsi" w:hAnsiTheme="majorHAnsi" w:cs="Arial"/>
          <w:sz w:val="20"/>
          <w:szCs w:val="20"/>
        </w:rPr>
      </w:pPr>
      <w:r w:rsidRPr="007A3943">
        <w:rPr>
          <w:rFonts w:asciiTheme="majorHAnsi" w:hAnsiTheme="majorHAnsi" w:cs="Arial"/>
          <w:sz w:val="20"/>
          <w:szCs w:val="20"/>
        </w:rPr>
        <w:t xml:space="preserve">On-line data fetching by connecting a remote external system, Chem2Bio2RDF [4], which is an integrated repository of </w:t>
      </w:r>
      <w:proofErr w:type="spellStart"/>
      <w:r w:rsidRPr="007A3943">
        <w:rPr>
          <w:rFonts w:asciiTheme="majorHAnsi" w:hAnsiTheme="majorHAnsi" w:cs="Arial"/>
          <w:sz w:val="20"/>
          <w:szCs w:val="20"/>
        </w:rPr>
        <w:t>chemogenomic</w:t>
      </w:r>
      <w:proofErr w:type="spellEnd"/>
      <w:r w:rsidRPr="007A3943">
        <w:rPr>
          <w:rFonts w:asciiTheme="majorHAnsi" w:hAnsiTheme="majorHAnsi" w:cs="Arial"/>
          <w:sz w:val="20"/>
          <w:szCs w:val="20"/>
        </w:rPr>
        <w:t xml:space="preserve"> and systems chemical biology data.</w:t>
      </w:r>
    </w:p>
    <w:p w:rsidR="007A3943" w:rsidRDefault="007A3943" w:rsidP="007A3943">
      <w:pPr>
        <w:pStyle w:val="ListParagraph"/>
        <w:numPr>
          <w:ilvl w:val="0"/>
          <w:numId w:val="1"/>
        </w:numPr>
        <w:ind w:left="450" w:hanging="270"/>
        <w:jc w:val="both"/>
        <w:rPr>
          <w:rFonts w:asciiTheme="majorHAnsi" w:hAnsiTheme="majorHAnsi" w:cs="Arial"/>
          <w:sz w:val="20"/>
          <w:szCs w:val="20"/>
        </w:rPr>
      </w:pPr>
      <w:r w:rsidRPr="007A3943">
        <w:rPr>
          <w:rFonts w:asciiTheme="majorHAnsi" w:hAnsiTheme="majorHAnsi" w:cs="Arial"/>
          <w:sz w:val="20"/>
          <w:szCs w:val="20"/>
        </w:rPr>
        <w:t>Research results for drug discovery to mining cause-effect relationship between large number of chemical compounds and diseases.</w:t>
      </w:r>
    </w:p>
    <w:p w:rsidR="00356C01" w:rsidRPr="007A3943" w:rsidRDefault="00356C01" w:rsidP="00356C01">
      <w:pPr>
        <w:pStyle w:val="ListParagraph"/>
        <w:ind w:left="450"/>
        <w:jc w:val="both"/>
        <w:rPr>
          <w:rFonts w:asciiTheme="majorHAnsi" w:hAnsiTheme="majorHAnsi" w:cs="Arial"/>
          <w:sz w:val="20"/>
          <w:szCs w:val="20"/>
        </w:rPr>
      </w:pPr>
    </w:p>
    <w:p w:rsidR="00162F5F" w:rsidRDefault="00356C01" w:rsidP="00356C01">
      <w:pPr>
        <w:keepNext/>
        <w:jc w:val="center"/>
      </w:pPr>
      <w:r>
        <w:rPr>
          <w:noProof/>
          <w:lang w:eastAsia="zh-CN"/>
        </w:rPr>
        <w:drawing>
          <wp:inline distT="0" distB="0" distL="0" distR="0">
            <wp:extent cx="4839211" cy="1671320"/>
            <wp:effectExtent l="19050" t="0" r="0" b="0"/>
            <wp:docPr id="5" name="Picture 4" descr="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9211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F5F" w:rsidRDefault="00162F5F" w:rsidP="00162F5F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. </w:t>
      </w:r>
      <w:r w:rsidR="00D6279B">
        <w:t>Architecture</w:t>
      </w:r>
      <w:r w:rsidR="00242396">
        <w:t xml:space="preserve"> of </w:t>
      </w:r>
      <w:proofErr w:type="spellStart"/>
      <w:r w:rsidR="00242396">
        <w:t>P</w:t>
      </w:r>
      <w:r w:rsidR="00356C01">
        <w:t>ubChemBrowse</w:t>
      </w:r>
      <w:proofErr w:type="spellEnd"/>
    </w:p>
    <w:p w:rsidR="00000000" w:rsidRPr="007A3943" w:rsidRDefault="009700ED" w:rsidP="007A3943">
      <w:pPr>
        <w:tabs>
          <w:tab w:val="num" w:pos="720"/>
        </w:tabs>
        <w:jc w:val="both"/>
        <w:rPr>
          <w:rFonts w:asciiTheme="majorHAnsi" w:hAnsiTheme="majorHAnsi" w:cs="Arial"/>
          <w:sz w:val="20"/>
          <w:szCs w:val="20"/>
        </w:rPr>
      </w:pPr>
      <w:r w:rsidRPr="007A3943">
        <w:rPr>
          <w:rFonts w:asciiTheme="majorHAnsi" w:hAnsiTheme="majorHAnsi" w:cs="Arial"/>
          <w:sz w:val="20"/>
          <w:szCs w:val="20"/>
        </w:rPr>
        <w:t xml:space="preserve">By using </w:t>
      </w:r>
      <w:proofErr w:type="spellStart"/>
      <w:r w:rsidRPr="007A3943">
        <w:rPr>
          <w:rFonts w:asciiTheme="majorHAnsi" w:hAnsiTheme="majorHAnsi" w:cs="Arial"/>
          <w:sz w:val="20"/>
          <w:szCs w:val="20"/>
        </w:rPr>
        <w:t>PubChemBrowse</w:t>
      </w:r>
      <w:proofErr w:type="spellEnd"/>
      <w:r w:rsidRPr="007A3943">
        <w:rPr>
          <w:rFonts w:asciiTheme="majorHAnsi" w:hAnsiTheme="majorHAnsi" w:cs="Arial"/>
          <w:sz w:val="20"/>
          <w:szCs w:val="20"/>
        </w:rPr>
        <w:t>, one can easily identify points of interest</w:t>
      </w:r>
      <w:r w:rsidR="007A3943" w:rsidRPr="007A3943">
        <w:rPr>
          <w:rFonts w:asciiTheme="majorHAnsi" w:hAnsiTheme="majorHAnsi" w:cs="Arial"/>
          <w:sz w:val="20"/>
          <w:szCs w:val="20"/>
        </w:rPr>
        <w:t>s</w:t>
      </w:r>
      <w:r w:rsidRPr="007A3943">
        <w:rPr>
          <w:rFonts w:asciiTheme="majorHAnsi" w:hAnsiTheme="majorHAnsi" w:cs="Arial"/>
          <w:sz w:val="20"/>
          <w:szCs w:val="20"/>
        </w:rPr>
        <w:t xml:space="preserve"> by colors or select a group of points distinguished by structural distribution in 3D space. Additional functions include browsing the data by rotation, zooming or panning the 3D space to search for details. </w:t>
      </w:r>
      <w:r w:rsidR="007A3943" w:rsidRPr="007A3943">
        <w:rPr>
          <w:rFonts w:asciiTheme="majorHAnsi" w:hAnsiTheme="majorHAnsi" w:cs="Arial"/>
          <w:sz w:val="20"/>
          <w:szCs w:val="20"/>
        </w:rPr>
        <w:t>Dynamic updating the labels of points or adding new data points are supported by sending on-line SPARQL query to Chem2Bio2RDF system. With our tool, researchers can easily browse very large datasets with ease. We've d</w:t>
      </w:r>
      <w:r w:rsidR="002E5FFF" w:rsidRPr="007A3943">
        <w:rPr>
          <w:rFonts w:asciiTheme="majorHAnsi" w:hAnsiTheme="majorHAnsi" w:cs="Arial"/>
          <w:sz w:val="20"/>
          <w:szCs w:val="20"/>
        </w:rPr>
        <w:t xml:space="preserve">eveloped </w:t>
      </w:r>
      <w:r w:rsidR="002E5FFF" w:rsidRPr="007A3943">
        <w:rPr>
          <w:rFonts w:asciiTheme="majorHAnsi" w:hAnsiTheme="majorHAnsi" w:cs="Arial"/>
          <w:sz w:val="20"/>
          <w:szCs w:val="20"/>
        </w:rPr>
        <w:t>parallel MDS and GTM algorithm</w:t>
      </w:r>
      <w:r w:rsidR="007A3943" w:rsidRPr="007A3943">
        <w:rPr>
          <w:rFonts w:asciiTheme="majorHAnsi" w:hAnsiTheme="majorHAnsi" w:cs="Arial"/>
          <w:sz w:val="20"/>
          <w:szCs w:val="20"/>
        </w:rPr>
        <w:t>s [1] [2]</w:t>
      </w:r>
      <w:r w:rsidR="002E5FFF" w:rsidRPr="007A3943">
        <w:rPr>
          <w:rFonts w:asciiTheme="majorHAnsi" w:hAnsiTheme="majorHAnsi" w:cs="Arial"/>
          <w:sz w:val="20"/>
          <w:szCs w:val="20"/>
        </w:rPr>
        <w:t xml:space="preserve"> to visualize large and high-dimensional data</w:t>
      </w:r>
      <w:r w:rsidR="007A3943" w:rsidRPr="007A3943">
        <w:rPr>
          <w:rFonts w:asciiTheme="majorHAnsi" w:hAnsiTheme="majorHAnsi" w:cs="Arial"/>
          <w:sz w:val="20"/>
          <w:szCs w:val="20"/>
        </w:rPr>
        <w:t>. As shown in Figure 2, we p</w:t>
      </w:r>
      <w:r w:rsidR="002E5FFF" w:rsidRPr="007A3943">
        <w:rPr>
          <w:rFonts w:asciiTheme="majorHAnsi" w:hAnsiTheme="majorHAnsi" w:cs="Arial"/>
          <w:sz w:val="20"/>
          <w:szCs w:val="20"/>
        </w:rPr>
        <w:t xml:space="preserve">rocessed 0.1 million </w:t>
      </w:r>
      <w:proofErr w:type="spellStart"/>
      <w:r w:rsidR="002E5FFF" w:rsidRPr="007A3943">
        <w:rPr>
          <w:rFonts w:asciiTheme="majorHAnsi" w:hAnsiTheme="majorHAnsi" w:cs="Arial"/>
          <w:sz w:val="20"/>
          <w:szCs w:val="20"/>
        </w:rPr>
        <w:t>PubChem</w:t>
      </w:r>
      <w:proofErr w:type="spellEnd"/>
      <w:r w:rsidR="002E5FFF" w:rsidRPr="007A3943">
        <w:rPr>
          <w:rFonts w:asciiTheme="majorHAnsi" w:hAnsiTheme="majorHAnsi" w:cs="Arial"/>
          <w:sz w:val="20"/>
          <w:szCs w:val="20"/>
        </w:rPr>
        <w:t xml:space="preserve"> data </w:t>
      </w:r>
      <w:r w:rsidR="007A3943" w:rsidRPr="007A3943">
        <w:rPr>
          <w:rFonts w:asciiTheme="majorHAnsi" w:hAnsiTheme="majorHAnsi" w:cs="Arial"/>
          <w:sz w:val="20"/>
          <w:szCs w:val="20"/>
        </w:rPr>
        <w:t>with</w:t>
      </w:r>
      <w:r w:rsidR="002E5FFF" w:rsidRPr="007A3943">
        <w:rPr>
          <w:rFonts w:asciiTheme="majorHAnsi" w:hAnsiTheme="majorHAnsi" w:cs="Arial"/>
          <w:sz w:val="20"/>
          <w:szCs w:val="20"/>
        </w:rPr>
        <w:t xml:space="preserve"> 166 dimensions</w:t>
      </w:r>
      <w:r w:rsidR="007A3943" w:rsidRPr="007A3943">
        <w:rPr>
          <w:rFonts w:asciiTheme="majorHAnsi" w:hAnsiTheme="majorHAnsi" w:cs="Arial"/>
          <w:sz w:val="20"/>
          <w:szCs w:val="20"/>
        </w:rPr>
        <w:t xml:space="preserve"> and used p</w:t>
      </w:r>
      <w:r w:rsidR="002E5FFF" w:rsidRPr="007A3943">
        <w:rPr>
          <w:rFonts w:asciiTheme="majorHAnsi" w:hAnsiTheme="majorHAnsi" w:cs="Arial"/>
          <w:sz w:val="20"/>
          <w:szCs w:val="20"/>
        </w:rPr>
        <w:t xml:space="preserve">arallel interpolation </w:t>
      </w:r>
      <w:r w:rsidR="007A3943" w:rsidRPr="007A3943">
        <w:rPr>
          <w:rFonts w:asciiTheme="majorHAnsi" w:hAnsiTheme="majorHAnsi" w:cs="Arial"/>
          <w:sz w:val="20"/>
          <w:szCs w:val="20"/>
        </w:rPr>
        <w:t>algorithms to</w:t>
      </w:r>
      <w:r w:rsidR="002E5FFF" w:rsidRPr="007A3943">
        <w:rPr>
          <w:rFonts w:asciiTheme="majorHAnsi" w:hAnsiTheme="majorHAnsi" w:cs="Arial"/>
          <w:sz w:val="20"/>
          <w:szCs w:val="20"/>
        </w:rPr>
        <w:t xml:space="preserve"> </w:t>
      </w:r>
      <w:r w:rsidR="007A3943" w:rsidRPr="007A3943">
        <w:rPr>
          <w:rFonts w:asciiTheme="majorHAnsi" w:hAnsiTheme="majorHAnsi" w:cs="Arial"/>
          <w:sz w:val="20"/>
          <w:szCs w:val="20"/>
        </w:rPr>
        <w:t xml:space="preserve">speed up the </w:t>
      </w:r>
      <w:r w:rsidR="002E5FFF" w:rsidRPr="007A3943">
        <w:rPr>
          <w:rFonts w:asciiTheme="majorHAnsi" w:hAnsiTheme="majorHAnsi" w:cs="Arial"/>
          <w:sz w:val="20"/>
          <w:szCs w:val="20"/>
        </w:rPr>
        <w:t xml:space="preserve">process </w:t>
      </w:r>
      <w:r w:rsidR="007A3943" w:rsidRPr="007A3943">
        <w:rPr>
          <w:rFonts w:asciiTheme="majorHAnsi" w:hAnsiTheme="majorHAnsi" w:cs="Arial"/>
          <w:sz w:val="20"/>
          <w:szCs w:val="20"/>
        </w:rPr>
        <w:t xml:space="preserve">for </w:t>
      </w:r>
      <w:r w:rsidR="002E5FFF" w:rsidRPr="007A3943">
        <w:rPr>
          <w:rFonts w:asciiTheme="majorHAnsi" w:hAnsiTheme="majorHAnsi" w:cs="Arial"/>
          <w:sz w:val="20"/>
          <w:szCs w:val="20"/>
        </w:rPr>
        <w:t xml:space="preserve">up to 2M </w:t>
      </w:r>
      <w:proofErr w:type="spellStart"/>
      <w:r w:rsidR="002E5FFF" w:rsidRPr="007A3943">
        <w:rPr>
          <w:rFonts w:asciiTheme="majorHAnsi" w:hAnsiTheme="majorHAnsi" w:cs="Arial"/>
          <w:sz w:val="20"/>
          <w:szCs w:val="20"/>
        </w:rPr>
        <w:t>PubChem</w:t>
      </w:r>
      <w:proofErr w:type="spellEnd"/>
      <w:r w:rsidR="002E5FFF" w:rsidRPr="007A3943">
        <w:rPr>
          <w:rFonts w:asciiTheme="majorHAnsi" w:hAnsiTheme="majorHAnsi" w:cs="Arial"/>
          <w:sz w:val="20"/>
          <w:szCs w:val="20"/>
        </w:rPr>
        <w:t xml:space="preserve"> points</w:t>
      </w:r>
      <w:r w:rsidR="007A3943" w:rsidRPr="007A3943">
        <w:rPr>
          <w:rFonts w:asciiTheme="majorHAnsi" w:hAnsiTheme="majorHAnsi" w:cs="Arial"/>
          <w:sz w:val="20"/>
          <w:szCs w:val="20"/>
        </w:rPr>
        <w:t>.</w:t>
      </w:r>
    </w:p>
    <w:p w:rsidR="00242396" w:rsidRPr="00242396" w:rsidRDefault="00242396" w:rsidP="00242396">
      <w:pPr>
        <w:jc w:val="both"/>
        <w:rPr>
          <w:rFonts w:asciiTheme="majorHAnsi" w:hAnsiTheme="majorHAnsi" w:cs="Arial"/>
        </w:rPr>
      </w:pPr>
    </w:p>
    <w:p w:rsidR="000C01B8" w:rsidRDefault="000C01B8" w:rsidP="000C01B8">
      <w:pPr>
        <w:rPr>
          <w:rFonts w:asciiTheme="majorHAnsi" w:hAnsiTheme="majorHAnsi" w:cs="Arial"/>
        </w:rPr>
      </w:pPr>
    </w:p>
    <w:p w:rsidR="00242396" w:rsidRDefault="00242396" w:rsidP="0063353E">
      <w:pPr>
        <w:jc w:val="center"/>
        <w:rPr>
          <w:rFonts w:asciiTheme="majorHAnsi" w:hAnsiTheme="majorHAnsi" w:cs="Arial"/>
        </w:rPr>
      </w:pPr>
      <w:r w:rsidRPr="00242396">
        <w:rPr>
          <w:rFonts w:asciiTheme="majorHAnsi" w:hAnsiTheme="majorHAnsi" w:cs="Arial"/>
        </w:rPr>
        <w:lastRenderedPageBreak/>
        <w:drawing>
          <wp:inline distT="0" distB="0" distL="0" distR="0">
            <wp:extent cx="5486400" cy="2576146"/>
            <wp:effectExtent l="0" t="0" r="0" b="0"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63000" cy="4114800"/>
                      <a:chOff x="228600" y="2057400"/>
                      <a:chExt cx="8763000" cy="4114800"/>
                    </a:xfrm>
                  </a:grpSpPr>
                  <a:grpSp>
                    <a:nvGrpSpPr>
                      <a:cNvPr id="11" name="Group 10"/>
                      <a:cNvGrpSpPr/>
                    </a:nvGrpSpPr>
                    <a:grpSpPr>
                      <a:xfrm>
                        <a:off x="228600" y="2057400"/>
                        <a:ext cx="8763000" cy="4114800"/>
                        <a:chOff x="228600" y="2057400"/>
                        <a:chExt cx="8763000" cy="4114800"/>
                      </a:xfrm>
                    </a:grpSpPr>
                    <a:pic>
                      <a:nvPicPr>
                        <a:cNvPr id="19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7" cstate="print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429000" y="2209800"/>
                          <a:ext cx="2454250" cy="240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21" name="Picture 4"/>
                        <a:cNvPicPr>
                          <a:picLocks noChangeAspect="1" noChangeArrowheads="1"/>
                        </a:cNvPicPr>
                      </a:nvPicPr>
                      <a:blipFill>
                        <a:blip r:embed="rId8" cstate="print">
                          <a:clrChange>
                            <a:clrFrom>
                              <a:srgbClr val="F5F5F5"/>
                            </a:clrFrom>
                            <a:clrTo>
                              <a:srgbClr val="F5F5F5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324600" y="2209800"/>
                          <a:ext cx="2473948" cy="2264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22" name="Picture 5"/>
                        <a:cNvPicPr>
                          <a:picLocks noChangeAspect="1" noChangeArrowheads="1"/>
                        </a:cNvPicPr>
                      </a:nvPicPr>
                      <a:blipFill>
                        <a:blip r:embed="rId9" cstate="print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04800" y="2057400"/>
                          <a:ext cx="2743200" cy="26479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24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8600" y="4724400"/>
                          <a:ext cx="2895600" cy="138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i="1" dirty="0" smtClean="0">
                                <a:latin typeface="Calibri" pitchFamily="34" charset="0"/>
                              </a:rPr>
                              <a:t>MDS for 100k </a:t>
                            </a:r>
                            <a:r>
                              <a:rPr lang="en-US" sz="1400" b="1" i="1" dirty="0" err="1" smtClean="0">
                                <a:latin typeface="Calibri" pitchFamily="34" charset="0"/>
                              </a:rPr>
                              <a:t>PubChem</a:t>
                            </a:r>
                            <a:r>
                              <a:rPr lang="en-US" sz="1400" b="1" i="1" dirty="0" smtClean="0">
                                <a:latin typeface="Calibri" pitchFamily="34" charset="0"/>
                              </a:rPr>
                              <a:t> data</a:t>
                            </a:r>
                          </a:p>
                          <a:p>
                            <a:r>
                              <a:rPr lang="en-US" sz="1400" dirty="0" smtClean="0">
                                <a:latin typeface="Calibri" pitchFamily="34" charset="0"/>
                              </a:rPr>
                              <a:t>100k </a:t>
                            </a:r>
                            <a:r>
                              <a:rPr lang="en-US" sz="1400" dirty="0" err="1" smtClean="0">
                                <a:latin typeface="Calibri" pitchFamily="34" charset="0"/>
                              </a:rPr>
                              <a:t>PubChem</a:t>
                            </a:r>
                            <a:r>
                              <a:rPr lang="en-US" sz="1400" dirty="0" smtClean="0">
                                <a:latin typeface="Calibri" pitchFamily="34" charset="0"/>
                              </a:rPr>
                              <a:t> data having 166 dimensions are visualized in 3D space. Colors represent 2 clusters separated by their structural proximity.</a:t>
                            </a:r>
                            <a:endParaRPr lang="en-US" sz="1400" dirty="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6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00400" y="4724400"/>
                          <a:ext cx="2895600" cy="11695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i="1" dirty="0" smtClean="0">
                                <a:latin typeface="Calibri" pitchFamily="34" charset="0"/>
                              </a:rPr>
                              <a:t>GTM for 930k genes and diseases</a:t>
                            </a:r>
                          </a:p>
                          <a:p>
                            <a:r>
                              <a:rPr lang="en-US" sz="1400" dirty="0" smtClean="0">
                                <a:latin typeface="Calibri" pitchFamily="34" charset="0"/>
                              </a:rPr>
                              <a:t>Genes (green color) and diseases (others) are plotted in 3D space, aiming at finding  cause-and-effect relationships.</a:t>
                            </a:r>
                            <a:endParaRPr lang="en-US" sz="1400" dirty="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7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096000" y="4571762"/>
                          <a:ext cx="2895600" cy="16004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i="1" dirty="0" smtClean="0">
                                <a:latin typeface="Calibri" pitchFamily="34" charset="0"/>
                              </a:rPr>
                              <a:t>GTM with interpolation for </a:t>
                            </a:r>
                            <a:br>
                              <a:rPr lang="en-US" sz="1400" b="1" i="1" dirty="0" smtClean="0">
                                <a:latin typeface="Calibri" pitchFamily="34" charset="0"/>
                              </a:rPr>
                            </a:br>
                            <a:r>
                              <a:rPr lang="en-US" sz="1400" b="1" i="1" dirty="0" smtClean="0">
                                <a:latin typeface="Calibri" pitchFamily="34" charset="0"/>
                              </a:rPr>
                              <a:t>2M </a:t>
                            </a:r>
                            <a:r>
                              <a:rPr lang="en-US" sz="1400" b="1" i="1" dirty="0" err="1" smtClean="0">
                                <a:latin typeface="Calibri" pitchFamily="34" charset="0"/>
                              </a:rPr>
                              <a:t>PubChem</a:t>
                            </a:r>
                            <a:r>
                              <a:rPr lang="en-US" sz="1400" b="1" i="1" dirty="0" smtClean="0">
                                <a:latin typeface="Calibri" pitchFamily="34" charset="0"/>
                              </a:rPr>
                              <a:t> data</a:t>
                            </a:r>
                          </a:p>
                          <a:p>
                            <a:r>
                              <a:rPr lang="en-US" sz="1400" dirty="0" smtClean="0">
                                <a:latin typeface="Calibri" pitchFamily="34" charset="0"/>
                              </a:rPr>
                              <a:t>2M </a:t>
                            </a:r>
                            <a:r>
                              <a:rPr lang="en-US" sz="1400" dirty="0" err="1" smtClean="0">
                                <a:latin typeface="Calibri" pitchFamily="34" charset="0"/>
                              </a:rPr>
                              <a:t>PubChem</a:t>
                            </a:r>
                            <a:r>
                              <a:rPr lang="en-US" sz="1400" dirty="0" smtClean="0">
                                <a:latin typeface="Calibri" pitchFamily="34" charset="0"/>
                              </a:rPr>
                              <a:t> data is plotted in 3D with GTM interpolation approach. Blue points are 100k sampled data and red points are 2M interpolated points.</a:t>
                            </a:r>
                            <a:endParaRPr lang="en-US" sz="1400" dirty="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42396" w:rsidRDefault="00242396" w:rsidP="00242396">
      <w:pPr>
        <w:pStyle w:val="Caption"/>
        <w:jc w:val="center"/>
      </w:pPr>
      <w:r>
        <w:t xml:space="preserve">Figure 2. Architecture of </w:t>
      </w:r>
      <w:proofErr w:type="spellStart"/>
      <w:r>
        <w:t>P</w:t>
      </w:r>
      <w:r w:rsidR="007A3943">
        <w:t>ubChemBrowse</w:t>
      </w:r>
      <w:proofErr w:type="spellEnd"/>
    </w:p>
    <w:p w:rsidR="000C01B8" w:rsidRDefault="000C01B8" w:rsidP="000C01B8">
      <w:pPr>
        <w:rPr>
          <w:rFonts w:asciiTheme="majorHAnsi" w:hAnsiTheme="majorHAnsi" w:cs="Arial"/>
        </w:rPr>
      </w:pPr>
    </w:p>
    <w:p w:rsidR="00FE4F84" w:rsidRPr="007A3943" w:rsidRDefault="00FE4F84" w:rsidP="000C01B8">
      <w:pPr>
        <w:rPr>
          <w:rFonts w:asciiTheme="majorHAnsi" w:hAnsiTheme="majorHAnsi" w:cs="Arial"/>
          <w:b/>
          <w:sz w:val="20"/>
          <w:szCs w:val="20"/>
        </w:rPr>
      </w:pPr>
      <w:r w:rsidRPr="007A3943">
        <w:rPr>
          <w:rFonts w:asciiTheme="majorHAnsi" w:hAnsiTheme="majorHAnsi" w:cs="Arial"/>
          <w:b/>
          <w:sz w:val="20"/>
          <w:szCs w:val="20"/>
        </w:rPr>
        <w:t>References</w:t>
      </w:r>
    </w:p>
    <w:p w:rsidR="00FE4F84" w:rsidRPr="007A3943" w:rsidRDefault="00FE4F84" w:rsidP="000C01B8">
      <w:pPr>
        <w:rPr>
          <w:rFonts w:asciiTheme="majorHAnsi" w:hAnsiTheme="majorHAnsi" w:cs="Arial"/>
          <w:sz w:val="20"/>
          <w:szCs w:val="20"/>
        </w:rPr>
      </w:pPr>
    </w:p>
    <w:p w:rsidR="0027692E" w:rsidRPr="00E143E7" w:rsidRDefault="00FE4F84" w:rsidP="000C01B8">
      <w:pPr>
        <w:rPr>
          <w:rFonts w:asciiTheme="majorHAnsi" w:hAnsiTheme="majorHAnsi" w:cs="Arial"/>
          <w:color w:val="000000" w:themeColor="text1"/>
          <w:sz w:val="20"/>
          <w:szCs w:val="20"/>
        </w:rPr>
      </w:pPr>
      <w:r w:rsidRPr="00E143E7">
        <w:rPr>
          <w:rFonts w:asciiTheme="majorHAnsi" w:hAnsiTheme="majorHAnsi" w:cs="Arial"/>
          <w:color w:val="000000" w:themeColor="text1"/>
          <w:sz w:val="20"/>
          <w:szCs w:val="20"/>
        </w:rPr>
        <w:t xml:space="preserve">[1] </w:t>
      </w:r>
      <w:proofErr w:type="spellStart"/>
      <w:r w:rsidR="0027692E" w:rsidRPr="00E143E7">
        <w:rPr>
          <w:rFonts w:asciiTheme="majorHAnsi" w:hAnsiTheme="majorHAnsi" w:cs="Arial"/>
          <w:color w:val="000000" w:themeColor="text1"/>
          <w:sz w:val="20"/>
          <w:szCs w:val="20"/>
        </w:rPr>
        <w:t>Seung-Hee</w:t>
      </w:r>
      <w:proofErr w:type="spellEnd"/>
      <w:r w:rsidR="0027692E" w:rsidRPr="00E143E7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27692E" w:rsidRPr="00E143E7">
        <w:rPr>
          <w:rFonts w:asciiTheme="majorHAnsi" w:hAnsiTheme="majorHAnsi" w:cs="Arial"/>
          <w:color w:val="000000" w:themeColor="text1"/>
          <w:sz w:val="20"/>
          <w:szCs w:val="20"/>
        </w:rPr>
        <w:t>Bae</w:t>
      </w:r>
      <w:proofErr w:type="spellEnd"/>
      <w:r w:rsidR="0027692E" w:rsidRPr="00E143E7">
        <w:rPr>
          <w:rFonts w:asciiTheme="majorHAnsi" w:hAnsiTheme="majorHAnsi" w:cs="Arial"/>
          <w:color w:val="000000" w:themeColor="text1"/>
          <w:sz w:val="20"/>
          <w:szCs w:val="20"/>
        </w:rPr>
        <w:t xml:space="preserve">, </w:t>
      </w:r>
      <w:proofErr w:type="spellStart"/>
      <w:r w:rsidR="0027692E" w:rsidRPr="00E143E7">
        <w:rPr>
          <w:rFonts w:asciiTheme="majorHAnsi" w:hAnsiTheme="majorHAnsi" w:cs="Arial"/>
          <w:color w:val="000000" w:themeColor="text1"/>
          <w:sz w:val="20"/>
          <w:szCs w:val="20"/>
        </w:rPr>
        <w:t>Jong</w:t>
      </w:r>
      <w:proofErr w:type="spellEnd"/>
      <w:r w:rsidR="0027692E" w:rsidRPr="00E143E7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27692E" w:rsidRPr="00E143E7">
        <w:rPr>
          <w:rFonts w:asciiTheme="majorHAnsi" w:hAnsiTheme="majorHAnsi" w:cs="Arial"/>
          <w:color w:val="000000" w:themeColor="text1"/>
          <w:sz w:val="20"/>
          <w:szCs w:val="20"/>
        </w:rPr>
        <w:t>Youl</w:t>
      </w:r>
      <w:proofErr w:type="spellEnd"/>
      <w:r w:rsidR="0027692E" w:rsidRPr="00E143E7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27692E" w:rsidRPr="00E143E7">
        <w:rPr>
          <w:rFonts w:asciiTheme="majorHAnsi" w:hAnsiTheme="majorHAnsi" w:cs="Arial"/>
          <w:color w:val="000000" w:themeColor="text1"/>
          <w:sz w:val="20"/>
          <w:szCs w:val="20"/>
        </w:rPr>
        <w:t>Choi</w:t>
      </w:r>
      <w:proofErr w:type="spellEnd"/>
      <w:r w:rsidR="0027692E" w:rsidRPr="00E143E7">
        <w:rPr>
          <w:rFonts w:asciiTheme="majorHAnsi" w:hAnsiTheme="majorHAnsi" w:cs="Arial"/>
          <w:color w:val="000000" w:themeColor="text1"/>
          <w:sz w:val="20"/>
          <w:szCs w:val="20"/>
        </w:rPr>
        <w:t>, Judy Qiu, Geoffrey Fox</w:t>
      </w:r>
      <w:r w:rsidR="002E5329" w:rsidRPr="00E143E7">
        <w:rPr>
          <w:rFonts w:asciiTheme="majorHAnsi" w:hAnsiTheme="majorHAnsi" w:cs="Arial"/>
          <w:color w:val="000000" w:themeColor="text1"/>
          <w:sz w:val="20"/>
          <w:szCs w:val="20"/>
        </w:rPr>
        <w:t>,</w:t>
      </w:r>
      <w:r w:rsidR="0027692E" w:rsidRPr="00E143E7">
        <w:rPr>
          <w:rFonts w:asciiTheme="majorHAnsi" w:hAnsiTheme="majorHAnsi" w:cs="Arial"/>
          <w:color w:val="333333"/>
          <w:sz w:val="20"/>
          <w:szCs w:val="20"/>
        </w:rPr>
        <w:t xml:space="preserve"> </w:t>
      </w:r>
      <w:hyperlink r:id="rId10" w:history="1">
        <w:r w:rsidR="0027692E" w:rsidRPr="00E143E7">
          <w:rPr>
            <w:rStyle w:val="Hyperlink"/>
            <w:rFonts w:asciiTheme="majorHAnsi" w:hAnsiTheme="majorHAnsi" w:cs="Arial"/>
            <w:sz w:val="20"/>
            <w:szCs w:val="20"/>
          </w:rPr>
          <w:t>Dimension Reduction and Visualization of Large High-dimensional Data via Interpolation</w:t>
        </w:r>
      </w:hyperlink>
      <w:r w:rsidR="002E5329" w:rsidRPr="00E143E7">
        <w:rPr>
          <w:rFonts w:asciiTheme="majorHAnsi" w:hAnsiTheme="majorHAnsi" w:cs="Arial"/>
          <w:color w:val="333333"/>
          <w:sz w:val="20"/>
          <w:szCs w:val="20"/>
        </w:rPr>
        <w:t>,</w:t>
      </w:r>
      <w:r w:rsidR="0027692E" w:rsidRPr="00E143E7">
        <w:rPr>
          <w:rFonts w:asciiTheme="majorHAnsi" w:hAnsiTheme="majorHAnsi" w:cs="Arial"/>
          <w:color w:val="333333"/>
          <w:sz w:val="20"/>
          <w:szCs w:val="20"/>
        </w:rPr>
        <w:t xml:space="preserve"> </w:t>
      </w:r>
      <w:r w:rsidR="0027692E" w:rsidRPr="00E143E7">
        <w:rPr>
          <w:rFonts w:asciiTheme="majorHAnsi" w:hAnsiTheme="majorHAnsi" w:cs="Arial"/>
          <w:color w:val="000000" w:themeColor="text1"/>
          <w:sz w:val="20"/>
          <w:szCs w:val="20"/>
        </w:rPr>
        <w:t xml:space="preserve">to appear in the Proceedings of ACM </w:t>
      </w:r>
      <w:r w:rsidR="007A34B0" w:rsidRPr="00E143E7">
        <w:rPr>
          <w:rFonts w:asciiTheme="majorHAnsi" w:hAnsiTheme="majorHAnsi" w:cs="Arial"/>
          <w:color w:val="000000" w:themeColor="text1"/>
          <w:sz w:val="20"/>
          <w:szCs w:val="20"/>
        </w:rPr>
        <w:t>High Performance and Distributed Computing (</w:t>
      </w:r>
      <w:hyperlink r:id="rId11" w:history="1">
        <w:r w:rsidR="0027692E" w:rsidRPr="00E143E7">
          <w:rPr>
            <w:rStyle w:val="Hyperlink"/>
            <w:rFonts w:asciiTheme="majorHAnsi" w:hAnsiTheme="majorHAnsi" w:cs="Arial"/>
            <w:sz w:val="20"/>
            <w:szCs w:val="20"/>
          </w:rPr>
          <w:t>HPDC</w:t>
        </w:r>
      </w:hyperlink>
      <w:r w:rsidR="0027692E" w:rsidRPr="00E143E7">
        <w:rPr>
          <w:rFonts w:asciiTheme="majorHAnsi" w:hAnsiTheme="majorHAnsi" w:cs="Arial"/>
          <w:color w:val="000000" w:themeColor="text1"/>
          <w:sz w:val="20"/>
          <w:szCs w:val="20"/>
        </w:rPr>
        <w:t xml:space="preserve"> 2010</w:t>
      </w:r>
      <w:r w:rsidR="007A34B0" w:rsidRPr="00E143E7">
        <w:rPr>
          <w:rFonts w:asciiTheme="majorHAnsi" w:hAnsiTheme="majorHAnsi" w:cs="Arial"/>
          <w:color w:val="000000" w:themeColor="text1"/>
          <w:sz w:val="20"/>
          <w:szCs w:val="20"/>
        </w:rPr>
        <w:t>)</w:t>
      </w:r>
      <w:r w:rsidR="0027692E" w:rsidRPr="00E143E7">
        <w:rPr>
          <w:rFonts w:asciiTheme="majorHAnsi" w:hAnsiTheme="majorHAnsi" w:cs="Arial"/>
          <w:color w:val="000000" w:themeColor="text1"/>
          <w:sz w:val="20"/>
          <w:szCs w:val="20"/>
        </w:rPr>
        <w:t xml:space="preserve"> conference, June 20-25, 2010</w:t>
      </w:r>
      <w:r w:rsidR="002F1E04" w:rsidRPr="00E143E7">
        <w:rPr>
          <w:rFonts w:asciiTheme="majorHAnsi" w:hAnsiTheme="majorHAnsi" w:cs="Arial"/>
          <w:color w:val="000000" w:themeColor="text1"/>
          <w:sz w:val="20"/>
          <w:szCs w:val="20"/>
        </w:rPr>
        <w:t>, Chicago, USA</w:t>
      </w:r>
      <w:r w:rsidR="00B952CC" w:rsidRPr="00E143E7">
        <w:rPr>
          <w:rFonts w:asciiTheme="majorHAnsi" w:hAnsiTheme="majorHAnsi" w:cs="Arial"/>
          <w:color w:val="000000" w:themeColor="text1"/>
          <w:sz w:val="20"/>
          <w:szCs w:val="20"/>
        </w:rPr>
        <w:t>.</w:t>
      </w:r>
    </w:p>
    <w:p w:rsidR="0027692E" w:rsidRPr="00E143E7" w:rsidRDefault="0027692E" w:rsidP="000C01B8">
      <w:pPr>
        <w:rPr>
          <w:rFonts w:asciiTheme="majorHAnsi" w:hAnsiTheme="majorHAnsi" w:cs="Arial"/>
          <w:color w:val="333333"/>
          <w:sz w:val="20"/>
          <w:szCs w:val="20"/>
        </w:rPr>
      </w:pPr>
    </w:p>
    <w:p w:rsidR="007A34B0" w:rsidRPr="00E143E7" w:rsidRDefault="00FE4F84" w:rsidP="007A34B0">
      <w:pPr>
        <w:rPr>
          <w:rFonts w:asciiTheme="majorHAnsi" w:hAnsiTheme="majorHAnsi" w:cs="Arial"/>
          <w:color w:val="000000" w:themeColor="text1"/>
          <w:sz w:val="20"/>
          <w:szCs w:val="20"/>
        </w:rPr>
      </w:pPr>
      <w:r w:rsidRPr="00E143E7">
        <w:rPr>
          <w:rFonts w:asciiTheme="majorHAnsi" w:hAnsiTheme="majorHAnsi" w:cs="Arial"/>
          <w:color w:val="000000" w:themeColor="text1"/>
          <w:sz w:val="20"/>
          <w:szCs w:val="20"/>
        </w:rPr>
        <w:t xml:space="preserve">[2] </w:t>
      </w:r>
      <w:proofErr w:type="spellStart"/>
      <w:r w:rsidR="000C01B8" w:rsidRPr="00E143E7">
        <w:rPr>
          <w:rFonts w:asciiTheme="majorHAnsi" w:hAnsiTheme="majorHAnsi" w:cs="Arial"/>
          <w:color w:val="000000" w:themeColor="text1"/>
          <w:sz w:val="20"/>
          <w:szCs w:val="20"/>
        </w:rPr>
        <w:t>Jong</w:t>
      </w:r>
      <w:proofErr w:type="spellEnd"/>
      <w:r w:rsidR="000C01B8" w:rsidRPr="00E143E7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0C01B8" w:rsidRPr="00E143E7">
        <w:rPr>
          <w:rFonts w:asciiTheme="majorHAnsi" w:hAnsiTheme="majorHAnsi" w:cs="Arial"/>
          <w:color w:val="000000" w:themeColor="text1"/>
          <w:sz w:val="20"/>
          <w:szCs w:val="20"/>
        </w:rPr>
        <w:t>Youl</w:t>
      </w:r>
      <w:proofErr w:type="spellEnd"/>
      <w:r w:rsidR="000C01B8" w:rsidRPr="00E143E7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0C01B8" w:rsidRPr="00E143E7">
        <w:rPr>
          <w:rFonts w:asciiTheme="majorHAnsi" w:hAnsiTheme="majorHAnsi" w:cs="Arial"/>
          <w:color w:val="000000" w:themeColor="text1"/>
          <w:sz w:val="20"/>
          <w:szCs w:val="20"/>
        </w:rPr>
        <w:t>Choi</w:t>
      </w:r>
      <w:proofErr w:type="spellEnd"/>
      <w:r w:rsidR="000C01B8" w:rsidRPr="00E143E7">
        <w:rPr>
          <w:rFonts w:asciiTheme="majorHAnsi" w:hAnsiTheme="majorHAnsi" w:cs="Arial"/>
          <w:color w:val="000000" w:themeColor="text1"/>
          <w:sz w:val="20"/>
          <w:szCs w:val="20"/>
        </w:rPr>
        <w:t xml:space="preserve">, </w:t>
      </w:r>
      <w:proofErr w:type="spellStart"/>
      <w:r w:rsidR="000C01B8" w:rsidRPr="00E143E7">
        <w:rPr>
          <w:rFonts w:asciiTheme="majorHAnsi" w:hAnsiTheme="majorHAnsi" w:cs="Arial"/>
          <w:color w:val="000000" w:themeColor="text1"/>
          <w:sz w:val="20"/>
          <w:szCs w:val="20"/>
        </w:rPr>
        <w:t>Seung-Hee</w:t>
      </w:r>
      <w:proofErr w:type="spellEnd"/>
      <w:r w:rsidR="000C01B8" w:rsidRPr="00E143E7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0C01B8" w:rsidRPr="00E143E7">
        <w:rPr>
          <w:rFonts w:asciiTheme="majorHAnsi" w:hAnsiTheme="majorHAnsi" w:cs="Arial"/>
          <w:color w:val="000000" w:themeColor="text1"/>
          <w:sz w:val="20"/>
          <w:szCs w:val="20"/>
        </w:rPr>
        <w:t>Bae</w:t>
      </w:r>
      <w:proofErr w:type="spellEnd"/>
      <w:r w:rsidR="000C01B8" w:rsidRPr="00E143E7">
        <w:rPr>
          <w:rFonts w:asciiTheme="majorHAnsi" w:hAnsiTheme="majorHAnsi" w:cs="Arial"/>
          <w:color w:val="000000" w:themeColor="text1"/>
          <w:sz w:val="20"/>
          <w:szCs w:val="20"/>
        </w:rPr>
        <w:t xml:space="preserve">, </w:t>
      </w:r>
      <w:proofErr w:type="spellStart"/>
      <w:r w:rsidR="000C01B8" w:rsidRPr="00E143E7">
        <w:rPr>
          <w:rFonts w:asciiTheme="majorHAnsi" w:hAnsiTheme="majorHAnsi" w:cs="Arial"/>
          <w:color w:val="000000" w:themeColor="text1"/>
          <w:sz w:val="20"/>
          <w:szCs w:val="20"/>
        </w:rPr>
        <w:t>Xiaohong</w:t>
      </w:r>
      <w:proofErr w:type="spellEnd"/>
      <w:r w:rsidR="000C01B8" w:rsidRPr="00E143E7">
        <w:rPr>
          <w:rFonts w:asciiTheme="majorHAnsi" w:hAnsiTheme="majorHAnsi" w:cs="Arial"/>
          <w:color w:val="000000" w:themeColor="text1"/>
          <w:sz w:val="20"/>
          <w:szCs w:val="20"/>
        </w:rPr>
        <w:t xml:space="preserve"> Qiu and Geoffrey Fox</w:t>
      </w:r>
      <w:r w:rsidR="002E5329" w:rsidRPr="00E143E7">
        <w:rPr>
          <w:rFonts w:asciiTheme="majorHAnsi" w:hAnsiTheme="majorHAnsi" w:cs="Arial"/>
          <w:color w:val="000000" w:themeColor="text1"/>
          <w:sz w:val="20"/>
          <w:szCs w:val="20"/>
        </w:rPr>
        <w:t>,</w:t>
      </w:r>
      <w:r w:rsidR="000C01B8" w:rsidRPr="00E143E7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hyperlink r:id="rId12" w:history="1">
        <w:r w:rsidR="000C01B8" w:rsidRPr="00E143E7">
          <w:rPr>
            <w:rStyle w:val="Hyperlink"/>
            <w:rFonts w:asciiTheme="majorHAnsi" w:hAnsiTheme="majorHAnsi" w:cs="Arial"/>
            <w:sz w:val="20"/>
            <w:szCs w:val="20"/>
          </w:rPr>
          <w:t>High Performance Dimension Reduction and Visualization for Large High-dimensional Data Analysis</w:t>
        </w:r>
      </w:hyperlink>
      <w:r w:rsidR="002E5329" w:rsidRPr="00E143E7">
        <w:rPr>
          <w:rFonts w:asciiTheme="majorHAnsi" w:hAnsiTheme="majorHAnsi" w:cs="Arial"/>
          <w:color w:val="333333"/>
          <w:sz w:val="20"/>
          <w:szCs w:val="20"/>
        </w:rPr>
        <w:t>,</w:t>
      </w:r>
      <w:r w:rsidR="000C01B8" w:rsidRPr="00E143E7">
        <w:rPr>
          <w:rFonts w:asciiTheme="majorHAnsi" w:hAnsiTheme="majorHAnsi" w:cs="Arial"/>
          <w:color w:val="333333"/>
          <w:sz w:val="20"/>
          <w:szCs w:val="20"/>
        </w:rPr>
        <w:t xml:space="preserve"> </w:t>
      </w:r>
      <w:r w:rsidR="000C01B8" w:rsidRPr="00E143E7">
        <w:rPr>
          <w:rFonts w:asciiTheme="majorHAnsi" w:hAnsiTheme="majorHAnsi" w:cs="Arial"/>
          <w:color w:val="000000" w:themeColor="text1"/>
          <w:sz w:val="20"/>
          <w:szCs w:val="20"/>
        </w:rPr>
        <w:t>to appear in the Proceedings of the 10th IEEE/ACM International Symposium on Cluster, Cloud and Grid Computing (</w:t>
      </w:r>
      <w:proofErr w:type="spellStart"/>
      <w:r w:rsidR="000C01B8" w:rsidRPr="00E143E7">
        <w:rPr>
          <w:rFonts w:asciiTheme="majorHAnsi" w:hAnsiTheme="majorHAnsi" w:cs="Arial"/>
          <w:color w:val="333333"/>
          <w:sz w:val="20"/>
          <w:szCs w:val="20"/>
        </w:rPr>
        <w:fldChar w:fldCharType="begin"/>
      </w:r>
      <w:r w:rsidR="000C01B8" w:rsidRPr="00E143E7">
        <w:rPr>
          <w:rFonts w:asciiTheme="majorHAnsi" w:hAnsiTheme="majorHAnsi" w:cs="Arial"/>
          <w:color w:val="333333"/>
          <w:sz w:val="20"/>
          <w:szCs w:val="20"/>
        </w:rPr>
        <w:instrText xml:space="preserve"> HYPERLINK "http://www.manjrasoft.com/ccgrid2010/" </w:instrText>
      </w:r>
      <w:r w:rsidR="000C01B8" w:rsidRPr="00E143E7">
        <w:rPr>
          <w:rFonts w:asciiTheme="majorHAnsi" w:hAnsiTheme="majorHAnsi" w:cs="Arial"/>
          <w:color w:val="333333"/>
          <w:sz w:val="20"/>
          <w:szCs w:val="20"/>
        </w:rPr>
        <w:fldChar w:fldCharType="separate"/>
      </w:r>
      <w:r w:rsidR="000C01B8" w:rsidRPr="00E143E7">
        <w:rPr>
          <w:rStyle w:val="Hyperlink"/>
          <w:rFonts w:asciiTheme="majorHAnsi" w:hAnsiTheme="majorHAnsi" w:cs="Arial"/>
          <w:sz w:val="20"/>
          <w:szCs w:val="20"/>
        </w:rPr>
        <w:t>CCGrid</w:t>
      </w:r>
      <w:proofErr w:type="spellEnd"/>
      <w:r w:rsidR="000C01B8" w:rsidRPr="00E143E7">
        <w:rPr>
          <w:rFonts w:asciiTheme="majorHAnsi" w:hAnsiTheme="majorHAnsi" w:cs="Arial"/>
          <w:color w:val="333333"/>
          <w:sz w:val="20"/>
          <w:szCs w:val="20"/>
        </w:rPr>
        <w:fldChar w:fldCharType="end"/>
      </w:r>
      <w:r w:rsidR="000C01B8" w:rsidRPr="00E143E7">
        <w:rPr>
          <w:rFonts w:asciiTheme="majorHAnsi" w:hAnsiTheme="majorHAnsi" w:cs="Arial"/>
          <w:color w:val="333333"/>
          <w:sz w:val="20"/>
          <w:szCs w:val="20"/>
        </w:rPr>
        <w:t xml:space="preserve"> </w:t>
      </w:r>
      <w:r w:rsidR="000C01B8" w:rsidRPr="00E143E7">
        <w:rPr>
          <w:rFonts w:asciiTheme="majorHAnsi" w:hAnsiTheme="majorHAnsi" w:cs="Arial"/>
          <w:color w:val="000000" w:themeColor="text1"/>
          <w:sz w:val="20"/>
          <w:szCs w:val="20"/>
        </w:rPr>
        <w:t>2010), May 17-20, 2010, Melbourne, Australia</w:t>
      </w:r>
      <w:r w:rsidR="00B952CC" w:rsidRPr="00E143E7">
        <w:rPr>
          <w:rFonts w:asciiTheme="majorHAnsi" w:hAnsiTheme="majorHAnsi" w:cs="Arial"/>
          <w:color w:val="000000" w:themeColor="text1"/>
          <w:sz w:val="20"/>
          <w:szCs w:val="20"/>
        </w:rPr>
        <w:t>.</w:t>
      </w:r>
    </w:p>
    <w:p w:rsidR="007A34B0" w:rsidRPr="00E143E7" w:rsidRDefault="007A34B0" w:rsidP="007A34B0">
      <w:pPr>
        <w:rPr>
          <w:rFonts w:asciiTheme="majorHAnsi" w:hAnsiTheme="majorHAnsi" w:cs="Arial"/>
          <w:color w:val="000000" w:themeColor="text1"/>
          <w:sz w:val="20"/>
          <w:szCs w:val="20"/>
        </w:rPr>
      </w:pPr>
    </w:p>
    <w:p w:rsidR="007A34B0" w:rsidRPr="00E143E7" w:rsidRDefault="007A34B0" w:rsidP="007A34B0">
      <w:pPr>
        <w:rPr>
          <w:rFonts w:asciiTheme="majorHAnsi" w:hAnsiTheme="majorHAnsi" w:cs="Arial"/>
          <w:color w:val="000000" w:themeColor="text1"/>
          <w:sz w:val="20"/>
          <w:szCs w:val="20"/>
        </w:rPr>
      </w:pPr>
      <w:r w:rsidRPr="00E143E7">
        <w:rPr>
          <w:rFonts w:asciiTheme="majorHAnsi" w:hAnsiTheme="majorHAnsi" w:cs="Arial"/>
          <w:color w:val="000000" w:themeColor="text1"/>
          <w:sz w:val="20"/>
          <w:szCs w:val="20"/>
        </w:rPr>
        <w:t xml:space="preserve">[3] </w:t>
      </w:r>
      <w:proofErr w:type="spellStart"/>
      <w:r w:rsidRPr="00E143E7">
        <w:rPr>
          <w:rFonts w:asciiTheme="majorHAnsi" w:hAnsiTheme="majorHAnsi" w:cs="Arial"/>
          <w:color w:val="000000" w:themeColor="text1"/>
          <w:sz w:val="20"/>
          <w:szCs w:val="20"/>
        </w:rPr>
        <w:t>Jaliya</w:t>
      </w:r>
      <w:proofErr w:type="spellEnd"/>
      <w:r w:rsidRPr="00E143E7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E143E7">
        <w:rPr>
          <w:rFonts w:asciiTheme="majorHAnsi" w:hAnsiTheme="majorHAnsi" w:cs="Arial"/>
          <w:color w:val="000000" w:themeColor="text1"/>
          <w:sz w:val="20"/>
          <w:szCs w:val="20"/>
        </w:rPr>
        <w:t>Ekanayake</w:t>
      </w:r>
      <w:proofErr w:type="spellEnd"/>
      <w:r w:rsidRPr="00E143E7">
        <w:rPr>
          <w:rFonts w:asciiTheme="majorHAnsi" w:hAnsiTheme="majorHAnsi" w:cs="Arial"/>
          <w:color w:val="000000" w:themeColor="text1"/>
          <w:sz w:val="20"/>
          <w:szCs w:val="20"/>
        </w:rPr>
        <w:t xml:space="preserve">, </w:t>
      </w:r>
      <w:proofErr w:type="spellStart"/>
      <w:r w:rsidRPr="00E143E7">
        <w:rPr>
          <w:rFonts w:asciiTheme="majorHAnsi" w:hAnsiTheme="majorHAnsi" w:cs="Arial"/>
          <w:color w:val="000000" w:themeColor="text1"/>
          <w:sz w:val="20"/>
          <w:szCs w:val="20"/>
        </w:rPr>
        <w:t>Xiaohong</w:t>
      </w:r>
      <w:proofErr w:type="spellEnd"/>
      <w:r w:rsidRPr="00E143E7">
        <w:rPr>
          <w:rFonts w:asciiTheme="majorHAnsi" w:hAnsiTheme="majorHAnsi" w:cs="Arial"/>
          <w:color w:val="000000" w:themeColor="text1"/>
          <w:sz w:val="20"/>
          <w:szCs w:val="20"/>
        </w:rPr>
        <w:t xml:space="preserve"> Qiu, </w:t>
      </w:r>
      <w:proofErr w:type="spellStart"/>
      <w:r w:rsidRPr="00E143E7">
        <w:rPr>
          <w:rFonts w:asciiTheme="majorHAnsi" w:hAnsiTheme="majorHAnsi" w:cs="Arial"/>
          <w:color w:val="000000" w:themeColor="text1"/>
          <w:sz w:val="20"/>
          <w:szCs w:val="20"/>
        </w:rPr>
        <w:t>Thilina</w:t>
      </w:r>
      <w:proofErr w:type="spellEnd"/>
      <w:r w:rsidRPr="00E143E7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E143E7">
        <w:rPr>
          <w:rFonts w:asciiTheme="majorHAnsi" w:hAnsiTheme="majorHAnsi" w:cs="Arial"/>
          <w:color w:val="000000" w:themeColor="text1"/>
          <w:sz w:val="20"/>
          <w:szCs w:val="20"/>
        </w:rPr>
        <w:t>Gunarathne</w:t>
      </w:r>
      <w:proofErr w:type="spellEnd"/>
      <w:r w:rsidRPr="00E143E7">
        <w:rPr>
          <w:rFonts w:asciiTheme="majorHAnsi" w:hAnsiTheme="majorHAnsi" w:cs="Arial"/>
          <w:color w:val="000000" w:themeColor="text1"/>
          <w:sz w:val="20"/>
          <w:szCs w:val="20"/>
        </w:rPr>
        <w:t xml:space="preserve">, Scott </w:t>
      </w:r>
      <w:proofErr w:type="spellStart"/>
      <w:r w:rsidRPr="00E143E7">
        <w:rPr>
          <w:rFonts w:asciiTheme="majorHAnsi" w:hAnsiTheme="majorHAnsi" w:cs="Arial"/>
          <w:color w:val="000000" w:themeColor="text1"/>
          <w:sz w:val="20"/>
          <w:szCs w:val="20"/>
        </w:rPr>
        <w:t>Beason</w:t>
      </w:r>
      <w:proofErr w:type="spellEnd"/>
      <w:r w:rsidRPr="00E143E7">
        <w:rPr>
          <w:rFonts w:asciiTheme="majorHAnsi" w:hAnsiTheme="majorHAnsi" w:cs="Arial"/>
          <w:color w:val="000000" w:themeColor="text1"/>
          <w:sz w:val="20"/>
          <w:szCs w:val="20"/>
        </w:rPr>
        <w:t>, Geoffrey Fox</w:t>
      </w:r>
      <w:r w:rsidR="002E5329" w:rsidRPr="00E143E7">
        <w:rPr>
          <w:rFonts w:asciiTheme="majorHAnsi" w:hAnsiTheme="majorHAnsi" w:cs="Arial"/>
          <w:color w:val="000000" w:themeColor="text1"/>
          <w:sz w:val="20"/>
          <w:szCs w:val="20"/>
        </w:rPr>
        <w:t>,</w:t>
      </w:r>
      <w:r w:rsidRPr="00E143E7">
        <w:rPr>
          <w:rFonts w:asciiTheme="majorHAnsi" w:hAnsiTheme="majorHAnsi" w:cs="Arial"/>
          <w:color w:val="333333"/>
          <w:sz w:val="20"/>
          <w:szCs w:val="20"/>
        </w:rPr>
        <w:t xml:space="preserve"> </w:t>
      </w:r>
      <w:hyperlink r:id="rId13" w:history="1">
        <w:r w:rsidRPr="00E143E7">
          <w:rPr>
            <w:rStyle w:val="Hyperlink"/>
            <w:rFonts w:asciiTheme="majorHAnsi" w:hAnsiTheme="majorHAnsi" w:cs="Arial"/>
            <w:sz w:val="20"/>
            <w:szCs w:val="20"/>
          </w:rPr>
          <w:t>High Performance Parallel Computing with Clouds and Cloud Technologies</w:t>
        </w:r>
      </w:hyperlink>
      <w:r w:rsidR="002E5329" w:rsidRPr="00E143E7">
        <w:rPr>
          <w:rFonts w:asciiTheme="majorHAnsi" w:hAnsiTheme="majorHAnsi" w:cs="Arial"/>
          <w:color w:val="333333"/>
          <w:sz w:val="20"/>
          <w:szCs w:val="20"/>
        </w:rPr>
        <w:t>,</w:t>
      </w:r>
      <w:r w:rsidRPr="00E143E7">
        <w:rPr>
          <w:rFonts w:asciiTheme="majorHAnsi" w:hAnsiTheme="majorHAnsi" w:cs="Arial"/>
          <w:color w:val="333333"/>
          <w:sz w:val="20"/>
          <w:szCs w:val="20"/>
        </w:rPr>
        <w:t xml:space="preserve"> </w:t>
      </w:r>
      <w:r w:rsidRPr="00E143E7">
        <w:rPr>
          <w:rFonts w:asciiTheme="majorHAnsi" w:hAnsiTheme="majorHAnsi" w:cs="Arial"/>
          <w:color w:val="000000" w:themeColor="text1"/>
          <w:sz w:val="20"/>
          <w:szCs w:val="20"/>
        </w:rPr>
        <w:t xml:space="preserve">to appear as a book chapter to Cloud Computing and Software Services: Theory and Techniques, CRC Press (Taylor and Francis), ISBN-10: 1439803153. </w:t>
      </w:r>
    </w:p>
    <w:p w:rsidR="009700ED" w:rsidRPr="00E143E7" w:rsidRDefault="009700ED" w:rsidP="007A34B0">
      <w:pPr>
        <w:rPr>
          <w:rFonts w:asciiTheme="majorHAnsi" w:hAnsiTheme="majorHAnsi" w:cs="Arial"/>
          <w:color w:val="000000" w:themeColor="text1"/>
          <w:sz w:val="20"/>
          <w:szCs w:val="20"/>
        </w:rPr>
      </w:pPr>
    </w:p>
    <w:p w:rsidR="009700ED" w:rsidRPr="00E143E7" w:rsidRDefault="009700ED" w:rsidP="007A34B0">
      <w:pPr>
        <w:rPr>
          <w:rFonts w:asciiTheme="majorHAnsi" w:hAnsiTheme="majorHAnsi" w:cs="Arial"/>
          <w:color w:val="000000" w:themeColor="text1"/>
          <w:sz w:val="20"/>
          <w:szCs w:val="20"/>
        </w:rPr>
      </w:pPr>
      <w:r w:rsidRPr="00E143E7">
        <w:rPr>
          <w:rFonts w:asciiTheme="majorHAnsi" w:hAnsiTheme="majorHAnsi" w:cs="Arial"/>
          <w:color w:val="000000" w:themeColor="text1"/>
          <w:sz w:val="20"/>
          <w:szCs w:val="20"/>
        </w:rPr>
        <w:t>[4] Semantic Systems Chemical Biology at http://chem2bio2rdf.org/</w:t>
      </w:r>
    </w:p>
    <w:p w:rsidR="009700ED" w:rsidRDefault="009700ED" w:rsidP="007A34B0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2E5FFF" w:rsidRPr="007A34B0" w:rsidRDefault="002E5FFF" w:rsidP="007A34B0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2E5FFF" w:rsidRDefault="002E5FFF" w:rsidP="000264E6">
      <w:pPr>
        <w:shd w:val="clear" w:color="auto" w:fill="FFFFFF"/>
        <w:jc w:val="both"/>
        <w:rPr>
          <w:rFonts w:asciiTheme="majorHAnsi" w:eastAsia="Times New Roman" w:hAnsiTheme="majorHAnsi" w:cs="Arial"/>
          <w:b/>
          <w:sz w:val="20"/>
          <w:szCs w:val="20"/>
          <w:lang/>
        </w:rPr>
      </w:pPr>
    </w:p>
    <w:p w:rsidR="000C01B8" w:rsidRPr="007A3943" w:rsidRDefault="000C01B8" w:rsidP="000264E6">
      <w:pPr>
        <w:shd w:val="clear" w:color="auto" w:fill="FFFFFF"/>
        <w:jc w:val="both"/>
        <w:rPr>
          <w:rFonts w:asciiTheme="majorHAnsi" w:eastAsia="Times New Roman" w:hAnsiTheme="majorHAnsi" w:cs="Arial"/>
          <w:b/>
          <w:sz w:val="20"/>
          <w:szCs w:val="20"/>
          <w:lang/>
        </w:rPr>
      </w:pPr>
      <w:r w:rsidRPr="007A3943">
        <w:rPr>
          <w:rFonts w:asciiTheme="majorHAnsi" w:eastAsia="Times New Roman" w:hAnsiTheme="majorHAnsi" w:cs="Arial"/>
          <w:b/>
          <w:sz w:val="20"/>
          <w:szCs w:val="20"/>
          <w:lang/>
        </w:rPr>
        <w:t>About DSC of Indiana University</w:t>
      </w:r>
    </w:p>
    <w:p w:rsidR="000C01B8" w:rsidRPr="007A3943" w:rsidRDefault="000C01B8" w:rsidP="000264E6">
      <w:pPr>
        <w:shd w:val="clear" w:color="auto" w:fill="FFFFFF"/>
        <w:jc w:val="both"/>
        <w:rPr>
          <w:rFonts w:asciiTheme="majorHAnsi" w:eastAsia="Times New Roman" w:hAnsiTheme="majorHAnsi" w:cs="Arial"/>
          <w:sz w:val="20"/>
          <w:szCs w:val="20"/>
          <w:lang/>
        </w:rPr>
      </w:pPr>
    </w:p>
    <w:p w:rsidR="000264E6" w:rsidRPr="007A3943" w:rsidRDefault="000264E6" w:rsidP="000264E6">
      <w:pPr>
        <w:shd w:val="clear" w:color="auto" w:fill="FFFFFF"/>
        <w:jc w:val="both"/>
        <w:rPr>
          <w:rFonts w:asciiTheme="majorHAnsi" w:eastAsia="Times New Roman" w:hAnsiTheme="majorHAnsi" w:cs="Arial"/>
          <w:sz w:val="20"/>
          <w:szCs w:val="20"/>
          <w:lang/>
        </w:rPr>
      </w:pPr>
      <w:r w:rsidRPr="007A3943">
        <w:rPr>
          <w:rFonts w:asciiTheme="majorHAnsi" w:eastAsia="Times New Roman" w:hAnsiTheme="majorHAnsi" w:cs="Arial"/>
          <w:sz w:val="20"/>
          <w:szCs w:val="20"/>
          <w:lang/>
        </w:rPr>
        <w:t xml:space="preserve">The Digital Science Center </w:t>
      </w:r>
      <w:r w:rsidR="002E5FFF">
        <w:rPr>
          <w:rFonts w:asciiTheme="majorHAnsi" w:eastAsia="Times New Roman" w:hAnsiTheme="majorHAnsi" w:cs="Arial"/>
          <w:sz w:val="20"/>
          <w:szCs w:val="20"/>
          <w:lang/>
        </w:rPr>
        <w:t xml:space="preserve">(DSC) </w:t>
      </w:r>
      <w:r w:rsidRPr="007A3943">
        <w:rPr>
          <w:rFonts w:asciiTheme="majorHAnsi" w:eastAsia="Times New Roman" w:hAnsiTheme="majorHAnsi" w:cs="Arial"/>
          <w:sz w:val="20"/>
          <w:szCs w:val="20"/>
          <w:lang/>
        </w:rPr>
        <w:t xml:space="preserve">focuses on creating an intuitively usable </w:t>
      </w:r>
      <w:proofErr w:type="spellStart"/>
      <w:r w:rsidRPr="007A3943">
        <w:rPr>
          <w:rFonts w:asciiTheme="majorHAnsi" w:eastAsia="Times New Roman" w:hAnsiTheme="majorHAnsi" w:cs="Arial"/>
          <w:sz w:val="20"/>
          <w:szCs w:val="20"/>
          <w:lang/>
        </w:rPr>
        <w:t>cyberinfrastructure</w:t>
      </w:r>
      <w:proofErr w:type="spellEnd"/>
      <w:r w:rsidRPr="007A3943">
        <w:rPr>
          <w:rFonts w:asciiTheme="majorHAnsi" w:eastAsia="Times New Roman" w:hAnsiTheme="majorHAnsi" w:cs="Arial"/>
          <w:sz w:val="20"/>
          <w:szCs w:val="20"/>
          <w:lang/>
        </w:rPr>
        <w:t xml:space="preserve"> with tremendous capabilities for supporting collaboration and computation. Easy-to-use, human-centered interfaces to </w:t>
      </w:r>
      <w:proofErr w:type="spellStart"/>
      <w:r w:rsidRPr="007A3943">
        <w:rPr>
          <w:rFonts w:asciiTheme="majorHAnsi" w:eastAsia="Times New Roman" w:hAnsiTheme="majorHAnsi" w:cs="Arial"/>
          <w:sz w:val="20"/>
          <w:szCs w:val="20"/>
          <w:lang/>
        </w:rPr>
        <w:t>cyberinfrastructure</w:t>
      </w:r>
      <w:proofErr w:type="spellEnd"/>
      <w:r w:rsidRPr="007A3943">
        <w:rPr>
          <w:rFonts w:asciiTheme="majorHAnsi" w:eastAsia="Times New Roman" w:hAnsiTheme="majorHAnsi" w:cs="Arial"/>
          <w:sz w:val="20"/>
          <w:szCs w:val="20"/>
          <w:lang/>
        </w:rPr>
        <w:t xml:space="preserve"> created by the Digital Science Center will enable the many thousands of researchers in the public and private sectors to use the capabilities of </w:t>
      </w:r>
      <w:proofErr w:type="spellStart"/>
      <w:r w:rsidRPr="007A3943">
        <w:rPr>
          <w:rFonts w:asciiTheme="majorHAnsi" w:eastAsia="Times New Roman" w:hAnsiTheme="majorHAnsi" w:cs="Arial"/>
          <w:sz w:val="20"/>
          <w:szCs w:val="20"/>
          <w:lang/>
        </w:rPr>
        <w:t>cyberinfrastructure</w:t>
      </w:r>
      <w:proofErr w:type="spellEnd"/>
      <w:r w:rsidRPr="007A3943">
        <w:rPr>
          <w:rFonts w:asciiTheme="majorHAnsi" w:eastAsia="Times New Roman" w:hAnsiTheme="majorHAnsi" w:cs="Arial"/>
          <w:sz w:val="20"/>
          <w:szCs w:val="20"/>
          <w:lang/>
        </w:rPr>
        <w:t xml:space="preserve"> and accelerate innovation and discovery. </w:t>
      </w:r>
    </w:p>
    <w:p w:rsidR="000C01B8" w:rsidRPr="007A3943" w:rsidRDefault="000C01B8" w:rsidP="000264E6">
      <w:pPr>
        <w:shd w:val="clear" w:color="auto" w:fill="FFFFFF"/>
        <w:jc w:val="both"/>
        <w:rPr>
          <w:rFonts w:asciiTheme="majorHAnsi" w:eastAsia="Times New Roman" w:hAnsiTheme="majorHAnsi" w:cs="Arial"/>
          <w:sz w:val="20"/>
          <w:szCs w:val="20"/>
          <w:lang/>
        </w:rPr>
      </w:pPr>
    </w:p>
    <w:p w:rsidR="000C01B8" w:rsidRPr="007A3943" w:rsidRDefault="000C01B8" w:rsidP="000264E6">
      <w:pPr>
        <w:shd w:val="clear" w:color="auto" w:fill="FFFFFF"/>
        <w:jc w:val="both"/>
        <w:rPr>
          <w:rFonts w:asciiTheme="majorHAnsi" w:eastAsia="Times New Roman" w:hAnsiTheme="majorHAnsi" w:cs="Arial"/>
          <w:sz w:val="20"/>
          <w:szCs w:val="20"/>
          <w:lang/>
        </w:rPr>
      </w:pPr>
      <w:r w:rsidRPr="007A3943">
        <w:rPr>
          <w:rFonts w:asciiTheme="majorHAnsi" w:eastAsia="Times New Roman" w:hAnsiTheme="majorHAnsi" w:cs="Arial"/>
          <w:sz w:val="20"/>
          <w:szCs w:val="20"/>
          <w:lang/>
        </w:rPr>
        <w:t>DSC is part of the Pervasive Technology Institute at Indiana University (www.pti.iu.edu). Supported by a $15 million grant from the Lilly Endowment, Inc., PTI is dedicated to the development and delivery of innovative information technologies and technology policies to advance research, education, industry and society.</w:t>
      </w:r>
      <w:r w:rsidR="002E5FFF" w:rsidRPr="002E5FFF">
        <w:rPr>
          <w:rFonts w:ascii="Arial" w:hAnsi="Arial" w:cs="Arial"/>
          <w:color w:val="000000"/>
        </w:rPr>
        <w:t xml:space="preserve"> </w:t>
      </w:r>
      <w:r w:rsidR="002E5FFF" w:rsidRPr="002E5FFF">
        <w:rPr>
          <w:rFonts w:asciiTheme="majorHAnsi" w:eastAsia="Times New Roman" w:hAnsiTheme="majorHAnsi" w:cs="Arial"/>
          <w:sz w:val="20"/>
          <w:szCs w:val="20"/>
          <w:lang/>
        </w:rPr>
        <w:t xml:space="preserve">PTI leads a major new NSF funded </w:t>
      </w:r>
      <w:r w:rsidR="002E5FFF">
        <w:rPr>
          <w:rFonts w:asciiTheme="majorHAnsi" w:eastAsia="Times New Roman" w:hAnsiTheme="majorHAnsi" w:cs="Arial"/>
          <w:sz w:val="20"/>
          <w:szCs w:val="20"/>
          <w:lang/>
        </w:rPr>
        <w:t xml:space="preserve">$15 million </w:t>
      </w:r>
      <w:r w:rsidR="002E5FFF" w:rsidRPr="002E5FFF">
        <w:rPr>
          <w:rFonts w:asciiTheme="majorHAnsi" w:eastAsia="Times New Roman" w:hAnsiTheme="majorHAnsi" w:cs="Arial"/>
          <w:sz w:val="20"/>
          <w:szCs w:val="20"/>
          <w:lang/>
        </w:rPr>
        <w:t xml:space="preserve">project </w:t>
      </w:r>
      <w:proofErr w:type="spellStart"/>
      <w:r w:rsidR="002E5FFF" w:rsidRPr="002E5FFF">
        <w:rPr>
          <w:rFonts w:asciiTheme="majorHAnsi" w:eastAsia="Times New Roman" w:hAnsiTheme="majorHAnsi" w:cs="Arial"/>
          <w:sz w:val="20"/>
          <w:szCs w:val="20"/>
          <w:lang/>
        </w:rPr>
        <w:t>FutureGrid</w:t>
      </w:r>
      <w:proofErr w:type="spellEnd"/>
      <w:r w:rsidR="002E5FFF" w:rsidRPr="002E5FFF">
        <w:rPr>
          <w:rFonts w:asciiTheme="majorHAnsi" w:eastAsia="Times New Roman" w:hAnsiTheme="majorHAnsi" w:cs="Arial"/>
          <w:sz w:val="20"/>
          <w:szCs w:val="20"/>
          <w:lang/>
        </w:rPr>
        <w:t xml:space="preserve"> developing a </w:t>
      </w:r>
      <w:proofErr w:type="spellStart"/>
      <w:r w:rsidR="002E5FFF" w:rsidRPr="002E5FFF">
        <w:rPr>
          <w:rFonts w:asciiTheme="majorHAnsi" w:eastAsia="Times New Roman" w:hAnsiTheme="majorHAnsi" w:cs="Arial"/>
          <w:sz w:val="20"/>
          <w:szCs w:val="20"/>
          <w:lang/>
        </w:rPr>
        <w:t>testbed</w:t>
      </w:r>
      <w:proofErr w:type="spellEnd"/>
      <w:r w:rsidR="002E5FFF" w:rsidRPr="002E5FFF">
        <w:rPr>
          <w:rFonts w:asciiTheme="majorHAnsi" w:eastAsia="Times New Roman" w:hAnsiTheme="majorHAnsi" w:cs="Arial"/>
          <w:sz w:val="20"/>
          <w:szCs w:val="20"/>
          <w:lang/>
        </w:rPr>
        <w:t xml:space="preserve"> linked to </w:t>
      </w:r>
      <w:proofErr w:type="spellStart"/>
      <w:r w:rsidR="002E5FFF" w:rsidRPr="002E5FFF">
        <w:rPr>
          <w:rFonts w:asciiTheme="majorHAnsi" w:eastAsia="Times New Roman" w:hAnsiTheme="majorHAnsi" w:cs="Arial"/>
          <w:sz w:val="20"/>
          <w:szCs w:val="20"/>
          <w:lang/>
        </w:rPr>
        <w:lastRenderedPageBreak/>
        <w:t>TeraGrid</w:t>
      </w:r>
      <w:proofErr w:type="spellEnd"/>
      <w:r w:rsidR="002E5FFF" w:rsidRPr="002E5FFF">
        <w:rPr>
          <w:rFonts w:asciiTheme="majorHAnsi" w:eastAsia="Times New Roman" w:hAnsiTheme="majorHAnsi" w:cs="Arial"/>
          <w:sz w:val="20"/>
          <w:szCs w:val="20"/>
          <w:lang/>
        </w:rPr>
        <w:t xml:space="preserve"> for innovative new approaches for large scale scientific computing</w:t>
      </w:r>
      <w:r w:rsidR="002E5FFF">
        <w:rPr>
          <w:rFonts w:asciiTheme="majorHAnsi" w:eastAsia="Times New Roman" w:hAnsiTheme="majorHAnsi" w:cs="Arial"/>
          <w:sz w:val="20"/>
          <w:szCs w:val="20"/>
          <w:lang/>
        </w:rPr>
        <w:t xml:space="preserve"> (http://uitspress.iu.edu/news/page/normal/11841.html)</w:t>
      </w:r>
      <w:r w:rsidR="002E5FFF" w:rsidRPr="002E5FFF">
        <w:rPr>
          <w:rFonts w:asciiTheme="majorHAnsi" w:eastAsia="Times New Roman" w:hAnsiTheme="majorHAnsi" w:cs="Arial"/>
          <w:sz w:val="20"/>
          <w:szCs w:val="20"/>
          <w:lang/>
        </w:rPr>
        <w:t xml:space="preserve">. </w:t>
      </w:r>
    </w:p>
    <w:sectPr w:rsidR="000C01B8" w:rsidRPr="007A3943" w:rsidSect="005119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A81"/>
    <w:multiLevelType w:val="hybridMultilevel"/>
    <w:tmpl w:val="27D80B2A"/>
    <w:lvl w:ilvl="0" w:tplc="8C1813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F6795"/>
    <w:multiLevelType w:val="hybridMultilevel"/>
    <w:tmpl w:val="3D48547C"/>
    <w:lvl w:ilvl="0" w:tplc="69BA9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84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E26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8A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C43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42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81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48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24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4D622B"/>
    <w:multiLevelType w:val="multilevel"/>
    <w:tmpl w:val="CF46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C96AC4"/>
    <w:multiLevelType w:val="hybridMultilevel"/>
    <w:tmpl w:val="27D80B2A"/>
    <w:lvl w:ilvl="0" w:tplc="8C1813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2F5F"/>
    <w:rsid w:val="000264E6"/>
    <w:rsid w:val="0008652D"/>
    <w:rsid w:val="000C01B8"/>
    <w:rsid w:val="00162F5F"/>
    <w:rsid w:val="001D2AB6"/>
    <w:rsid w:val="00242396"/>
    <w:rsid w:val="0027692E"/>
    <w:rsid w:val="002E5329"/>
    <w:rsid w:val="002E5FFF"/>
    <w:rsid w:val="002F1E04"/>
    <w:rsid w:val="002F59E9"/>
    <w:rsid w:val="00325EE3"/>
    <w:rsid w:val="00356C01"/>
    <w:rsid w:val="00611BB2"/>
    <w:rsid w:val="0063353E"/>
    <w:rsid w:val="007237F5"/>
    <w:rsid w:val="007A34B0"/>
    <w:rsid w:val="007A3943"/>
    <w:rsid w:val="008C0427"/>
    <w:rsid w:val="00946822"/>
    <w:rsid w:val="009700ED"/>
    <w:rsid w:val="00B3602E"/>
    <w:rsid w:val="00B952CC"/>
    <w:rsid w:val="00BC3207"/>
    <w:rsid w:val="00C7438D"/>
    <w:rsid w:val="00D01E68"/>
    <w:rsid w:val="00D6279B"/>
    <w:rsid w:val="00D834DD"/>
    <w:rsid w:val="00DA331A"/>
    <w:rsid w:val="00E143E7"/>
    <w:rsid w:val="00EE325A"/>
    <w:rsid w:val="00FE4F8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6C46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162F5F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5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6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64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64E6"/>
    <w:rPr>
      <w:b/>
      <w:bCs/>
      <w:strike w:val="0"/>
      <w:dstrike w:val="0"/>
      <w:color w:val="99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678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17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23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grids.ucs.indiana.edu/ptliupages/publications/cloud_handbook_final-with-diagram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grids.ucs.indiana.edu/ptliupages/publications/hpviz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hpdc2010.eecs.northwestern.edu/" TargetMode="External"/><Relationship Id="rId5" Type="http://schemas.openxmlformats.org/officeDocument/2006/relationships/hyperlink" Target="http://www.infomall.org/sals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rids.ucs.indiana.edu/ptliupages/publications/hpdc2010_submission_57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Fox</dc:creator>
  <cp:lastModifiedBy>Geoffrey Fox</cp:lastModifiedBy>
  <cp:revision>2</cp:revision>
  <dcterms:created xsi:type="dcterms:W3CDTF">2010-04-01T01:51:00Z</dcterms:created>
  <dcterms:modified xsi:type="dcterms:W3CDTF">2010-04-01T01:51:00Z</dcterms:modified>
</cp:coreProperties>
</file>