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E1" w:rsidRPr="00DE35FD" w:rsidRDefault="002234E1" w:rsidP="002234E1">
      <w:pPr>
        <w:pStyle w:val="ARTICLETITLE"/>
        <w:spacing w:after="120"/>
        <w:rPr>
          <w:color w:val="000000"/>
          <w:szCs w:val="48"/>
        </w:rPr>
      </w:pPr>
      <w:r w:rsidRPr="00DE35FD">
        <w:rPr>
          <w:szCs w:val="48"/>
        </w:rPr>
        <w:t>Building a Grid Portal for Teragrid’s Big Red</w:t>
      </w:r>
    </w:p>
    <w:p w:rsidR="002234E1" w:rsidRDefault="002234E1" w:rsidP="002234E1">
      <w:pPr>
        <w:pStyle w:val="Heading2"/>
        <w:tabs>
          <w:tab w:val="left" w:pos="86"/>
        </w:tabs>
        <w:spacing w:before="0" w:after="120"/>
        <w:ind w:left="86" w:firstLine="0"/>
        <w:jc w:val="center"/>
        <w:rPr>
          <w:b w:val="0"/>
          <w:sz w:val="22"/>
          <w:szCs w:val="22"/>
        </w:rPr>
      </w:pPr>
      <w:r w:rsidRPr="00DE35FD">
        <w:rPr>
          <w:b w:val="0"/>
          <w:sz w:val="22"/>
          <w:szCs w:val="22"/>
        </w:rPr>
        <w:t xml:space="preserve">Mehmet A. Nacar, Jong Y. Choi, Marlon E. Pierce, and Geoffrey C. Fox </w:t>
      </w:r>
    </w:p>
    <w:p w:rsidR="002234E1" w:rsidRDefault="002234E1" w:rsidP="002234E1">
      <w:pPr>
        <w:pStyle w:val="Body"/>
        <w:ind w:firstLine="0"/>
        <w:rPr>
          <w:b/>
          <w:color w:val="000000"/>
        </w:rPr>
      </w:pPr>
    </w:p>
    <w:p w:rsidR="002234E1" w:rsidRPr="00B17B76" w:rsidRDefault="002234E1" w:rsidP="002234E1">
      <w:pPr>
        <w:pStyle w:val="ABSTRACT"/>
        <w:jc w:val="both"/>
      </w:pPr>
      <w:r>
        <w:rPr>
          <w:b/>
          <w:color w:val="000000"/>
        </w:rPr>
        <w:t>Abstract</w:t>
      </w:r>
      <w:r>
        <w:rPr>
          <w:color w:val="000000"/>
        </w:rPr>
        <w:t>—</w:t>
      </w:r>
      <w:r w:rsidRPr="00A52B51">
        <w:t xml:space="preserve"> </w:t>
      </w:r>
      <w:r w:rsidRPr="00E4215A">
        <w:t xml:space="preserve">We describe the Big Red </w:t>
      </w:r>
      <w:r>
        <w:t>P</w:t>
      </w:r>
      <w:r w:rsidRPr="00E4215A">
        <w:t xml:space="preserve">ortal, which builds on the Open Grid Computing Environment (OGCE) portal software.  In addition to standard OGCE capabilities, this portal includes MEME </w:t>
      </w:r>
      <w:r>
        <w:t xml:space="preserve">job submission </w:t>
      </w:r>
      <w:r w:rsidRPr="00E4215A">
        <w:t xml:space="preserve">and job dashboard portlets </w:t>
      </w:r>
      <w:r>
        <w:t xml:space="preserve">that are </w:t>
      </w:r>
      <w:r w:rsidRPr="00E4215A">
        <w:t xml:space="preserve">built using OGCE </w:t>
      </w:r>
      <w:r>
        <w:t xml:space="preserve">and related </w:t>
      </w:r>
      <w:r w:rsidRPr="00E4215A">
        <w:t>portlet libraries.  To simplify the development of such portlets in the future, we introduce an XML tag library approach that encapsulates common Grid operations for rapid development</w:t>
      </w:r>
    </w:p>
    <w:p w:rsidR="002234E1" w:rsidRDefault="002234E1" w:rsidP="002234E1">
      <w:pPr>
        <w:pStyle w:val="AUTHORAFFILIATION"/>
        <w:framePr w:vSpace="0" w:wrap="around"/>
        <w:spacing w:before="120" w:after="60"/>
        <w:jc w:val="center"/>
        <w:rPr>
          <w:i w:val="0"/>
          <w:color w:val="000000"/>
        </w:rPr>
      </w:pPr>
      <w:r>
        <w:rPr>
          <w:rFonts w:ascii="Times New Roman" w:hAnsi="Times New Roman"/>
          <w:i w:val="0"/>
          <w:color w:val="000000"/>
          <w:sz w:val="14"/>
        </w:rPr>
        <w:t>————————————————</w:t>
      </w:r>
    </w:p>
    <w:p w:rsidR="002234E1" w:rsidRDefault="002234E1" w:rsidP="002234E1">
      <w:pPr>
        <w:pStyle w:val="AUTHORAFFILIATION"/>
        <w:framePr w:vSpace="0" w:wrap="around"/>
        <w:numPr>
          <w:ilvl w:val="0"/>
          <w:numId w:val="1"/>
        </w:numPr>
        <w:jc w:val="left"/>
        <w:rPr>
          <w:i w:val="0"/>
          <w:color w:val="000000"/>
        </w:rPr>
      </w:pPr>
      <w:r>
        <w:rPr>
          <w:color w:val="000000"/>
        </w:rPr>
        <w:t xml:space="preserve">Mehmet A. Nacar, Department of Computer Science, </w:t>
      </w:r>
      <w:smartTag w:uri="urn:schemas-microsoft-com:office:smarttags" w:element="place">
        <w:smartTag w:uri="urn:schemas-microsoft-com:office:smarttags" w:element="PlaceName">
          <w:r w:rsidRPr="00422233">
            <w:rPr>
              <w:color w:val="000000"/>
            </w:rPr>
            <w:t>Indiana</w:t>
          </w:r>
        </w:smartTag>
        <w:r w:rsidRPr="00422233">
          <w:rPr>
            <w:color w:val="000000"/>
          </w:rPr>
          <w:t xml:space="preserve"> </w:t>
        </w:r>
        <w:smartTag w:uri="urn:schemas-microsoft-com:office:smarttags" w:element="PlaceType">
          <w:r w:rsidRPr="00422233">
            <w:rPr>
              <w:color w:val="000000"/>
            </w:rPr>
            <w:t>University</w:t>
          </w:r>
        </w:smartTag>
      </w:smartTag>
      <w:r>
        <w:rPr>
          <w:color w:val="000000"/>
        </w:rPr>
        <w:t xml:space="preserve"> </w:t>
      </w:r>
    </w:p>
    <w:p w:rsidR="002234E1" w:rsidRPr="00FB0574" w:rsidRDefault="002234E1" w:rsidP="002234E1">
      <w:pPr>
        <w:pStyle w:val="AUTHORAFFILIATION"/>
        <w:framePr w:vSpace="0" w:wrap="around"/>
        <w:numPr>
          <w:ilvl w:val="0"/>
          <w:numId w:val="1"/>
        </w:numPr>
        <w:jc w:val="left"/>
        <w:rPr>
          <w:color w:val="000000"/>
          <w:szCs w:val="16"/>
        </w:rPr>
      </w:pPr>
      <w:r w:rsidRPr="00FB0574">
        <w:rPr>
          <w:szCs w:val="16"/>
        </w:rPr>
        <w:t>Jong Y. C</w:t>
      </w:r>
      <w:r w:rsidR="00FC095D">
        <w:rPr>
          <w:szCs w:val="16"/>
        </w:rPr>
        <w:t>hoi</w:t>
      </w:r>
      <w:r>
        <w:rPr>
          <w:szCs w:val="16"/>
        </w:rPr>
        <w:t xml:space="preserve">, </w:t>
      </w:r>
      <w:r>
        <w:rPr>
          <w:color w:val="000000"/>
        </w:rPr>
        <w:t xml:space="preserve">Department of Computer Science, </w:t>
      </w:r>
      <w:r w:rsidRPr="00422233">
        <w:rPr>
          <w:color w:val="000000"/>
        </w:rPr>
        <w:t>Indiana University</w:t>
      </w:r>
    </w:p>
    <w:p w:rsidR="002234E1" w:rsidRPr="00422233" w:rsidRDefault="002234E1" w:rsidP="002234E1">
      <w:pPr>
        <w:pStyle w:val="AUTHORAFFILIATION"/>
        <w:framePr w:vSpace="0" w:wrap="around"/>
        <w:numPr>
          <w:ilvl w:val="0"/>
          <w:numId w:val="1"/>
        </w:numPr>
        <w:jc w:val="left"/>
        <w:rPr>
          <w:i w:val="0"/>
          <w:color w:val="000000"/>
        </w:rPr>
      </w:pPr>
      <w:r>
        <w:rPr>
          <w:color w:val="000000"/>
        </w:rPr>
        <w:t xml:space="preserve">Marlon E. Pierce, Community Grids Lab, </w:t>
      </w:r>
      <w:smartTag w:uri="urn:schemas-microsoft-com:office:smarttags" w:element="place">
        <w:smartTag w:uri="urn:schemas-microsoft-com:office:smarttags" w:element="PlaceName">
          <w:r w:rsidRPr="00422233">
            <w:rPr>
              <w:color w:val="000000"/>
            </w:rPr>
            <w:t>Indiana</w:t>
          </w:r>
        </w:smartTag>
        <w:r w:rsidRPr="00422233">
          <w:rPr>
            <w:color w:val="000000"/>
          </w:rPr>
          <w:t xml:space="preserve"> </w:t>
        </w:r>
        <w:smartTag w:uri="urn:schemas-microsoft-com:office:smarttags" w:element="PlaceType">
          <w:r w:rsidRPr="00422233">
            <w:rPr>
              <w:color w:val="000000"/>
            </w:rPr>
            <w:t>University</w:t>
          </w:r>
        </w:smartTag>
      </w:smartTag>
    </w:p>
    <w:p w:rsidR="002234E1" w:rsidRDefault="002234E1" w:rsidP="002234E1">
      <w:pPr>
        <w:pStyle w:val="AUTHORAFFILIATION"/>
        <w:framePr w:vSpace="0" w:wrap="around"/>
        <w:numPr>
          <w:ilvl w:val="0"/>
          <w:numId w:val="1"/>
        </w:numPr>
        <w:jc w:val="left"/>
        <w:rPr>
          <w:color w:val="000000"/>
        </w:rPr>
      </w:pPr>
      <w:r w:rsidRPr="00422233">
        <w:rPr>
          <w:color w:val="000000"/>
        </w:rPr>
        <w:t>Geoffrey C. Fox</w:t>
      </w:r>
      <w:r>
        <w:rPr>
          <w:color w:val="000000"/>
        </w:rPr>
        <w:t xml:space="preserve">, Department of Computer Science, </w:t>
      </w:r>
      <w:smartTag w:uri="urn:schemas-microsoft-com:office:smarttags" w:element="place">
        <w:smartTag w:uri="urn:schemas-microsoft-com:office:smarttags" w:element="PlaceName">
          <w:r w:rsidRPr="00422233">
            <w:rPr>
              <w:color w:val="000000"/>
            </w:rPr>
            <w:t>Indiana</w:t>
          </w:r>
        </w:smartTag>
        <w:r w:rsidRPr="00422233">
          <w:rPr>
            <w:color w:val="000000"/>
          </w:rPr>
          <w:t xml:space="preserve"> </w:t>
        </w:r>
        <w:smartTag w:uri="urn:schemas-microsoft-com:office:smarttags" w:element="PlaceType">
          <w:r w:rsidRPr="00422233">
            <w:rPr>
              <w:color w:val="000000"/>
            </w:rPr>
            <w:t>University</w:t>
          </w:r>
        </w:smartTag>
      </w:smartTag>
    </w:p>
    <w:p w:rsidR="002234E1" w:rsidRPr="00422233" w:rsidRDefault="002234E1" w:rsidP="002234E1">
      <w:pPr>
        <w:pStyle w:val="AUTHORAFFILIATION"/>
        <w:framePr w:vSpace="0" w:wrap="around"/>
        <w:numPr>
          <w:ilvl w:val="0"/>
          <w:numId w:val="1"/>
        </w:numPr>
        <w:jc w:val="left"/>
        <w:rPr>
          <w:color w:val="000000"/>
        </w:rPr>
      </w:pPr>
      <w:r>
        <w:rPr>
          <w:color w:val="000000"/>
        </w:rPr>
        <w:t xml:space="preserve">Author emails </w:t>
      </w:r>
      <w:r w:rsidR="008A00F3">
        <w:rPr>
          <w:color w:val="000000"/>
        </w:rPr>
        <w:t>r</w:t>
      </w:r>
      <w:r>
        <w:rPr>
          <w:color w:val="000000"/>
        </w:rPr>
        <w:t>espectively: {mnacar, jychoi, marpierc, gcf}@indiana.edu</w:t>
      </w:r>
    </w:p>
    <w:p w:rsidR="002234E1" w:rsidRDefault="002234E1" w:rsidP="002234E1">
      <w:pPr>
        <w:pStyle w:val="PARAGRAPHnoindent"/>
        <w:spacing w:before="120"/>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2234E1" w:rsidRDefault="002234E1" w:rsidP="002234E1">
      <w:pPr>
        <w:pStyle w:val="Heading1"/>
        <w:spacing w:before="200"/>
        <w:rPr>
          <w:color w:val="000000"/>
        </w:rPr>
        <w:sectPr w:rsidR="002234E1" w:rsidSect="002234E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640" w:h="15480" w:code="1"/>
          <w:pgMar w:top="1195" w:right="605" w:bottom="360" w:left="720" w:header="605" w:footer="72" w:gutter="0"/>
          <w:cols w:space="240"/>
          <w:titlePg/>
        </w:sectPr>
      </w:pPr>
      <w:r>
        <w:rPr>
          <w:color w:val="000000"/>
        </w:rPr>
        <w:t>1</w:t>
      </w:r>
      <w:r>
        <w:rPr>
          <w:color w:val="000000"/>
        </w:rPr>
        <w:tab/>
        <w:t>Introduction</w:t>
      </w:r>
    </w:p>
    <w:p w:rsidR="002234E1" w:rsidRDefault="002234E1" w:rsidP="002234E1">
      <w:pPr>
        <w:pStyle w:val="PARAGRAPHnoindent"/>
        <w:rPr>
          <w:color w:val="000000"/>
        </w:rPr>
      </w:pPr>
    </w:p>
    <w:p w:rsidR="002234E1" w:rsidRDefault="002234E1" w:rsidP="002234E1">
      <w:r>
        <w:t>TeraGrid Science Gateways are science portals that are designed to provide high level, user-centric services and interfaces to the National Science Foundation’s TeraGrid. Several of these efforts are described in an upcoming sp</w:t>
      </w:r>
      <w:r>
        <w:t>e</w:t>
      </w:r>
      <w:r>
        <w:t xml:space="preserve">cial issue of </w:t>
      </w:r>
      <w:r w:rsidRPr="00FB0ACD">
        <w:rPr>
          <w:i/>
        </w:rPr>
        <w:t>Concurrency and Computation</w:t>
      </w:r>
      <w:r w:rsidR="000C6C81">
        <w:t xml:space="preserve"> </w:t>
      </w:r>
      <w:r w:rsidR="00A90F13">
        <w:fldChar w:fldCharType="begin"/>
      </w:r>
      <w:r w:rsidR="005D066B">
        <w:instrText xml:space="preserve"> ADDIN EN.CITE &lt;EndNote&gt;&lt;Cite ExcludeYear="1"&gt;&lt;Author&gt;Nancy&lt;/Author&gt;&lt;Year&gt;2006&lt;/Year&gt;&lt;RecNum&gt;7&lt;/RecNum&gt;&lt;record&gt;&lt;rec-number&gt;7&lt;/rec-number&gt;&lt;foreign-keys&gt;&lt;key app="EN" db-id="t9x9efffjass9fetf02pz5zvpvswfxaa5t5d"&gt;7&lt;/key&gt;&lt;/foreign-keys&gt;&lt;ref-type name="Journal Article"&gt;17&lt;/ref-type&gt;&lt;contributors&gt;&lt;authors&gt;&lt;author&gt;Nancy, Wilkins-Diehr&lt;/author&gt;&lt;/authors&gt;&lt;/contributors&gt;&lt;auth-address&gt;San Diego Supercomputer Center, University of California at San Diego, La Jolla, CA, U.S.A.&lt;/auth-address&gt;&lt;titles&gt;&lt;title&gt;Special Issue: Science Gateways - Common Community Interfaces to Grid Resources&lt;/title&gt;&lt;secondary-title&gt;Concurrency and Computation: Practice and Experience&lt;/secondary-title&gt;&lt;/titles&gt;&lt;periodical&gt;&lt;full-title&gt;Concurrency and Computation: Practice and Experience&lt;/full-title&gt;&lt;/periodical&gt;&lt;pages&gt;n/a&lt;/pages&gt;&lt;volume&gt;9999&lt;/volume&gt;&lt;number&gt;9999&lt;/number&gt;&lt;dates&gt;&lt;year&gt;2006&lt;/year&gt;&lt;/dates&gt;&lt;isbn&gt;1532-0634&lt;/isbn&gt;&lt;urls&gt;&lt;related-urls&gt;&lt;url&gt;http://dx.doi.org/10.1002/cpe.1098 &lt;/url&gt;&lt;/related-urls&gt;&lt;/urls&gt;&lt;/record&gt;&lt;/Cite&gt;&lt;/EndNote&gt;</w:instrText>
      </w:r>
      <w:r w:rsidR="00A90F13">
        <w:fldChar w:fldCharType="separate"/>
      </w:r>
      <w:r w:rsidR="005D066B">
        <w:t>[1]</w:t>
      </w:r>
      <w:r w:rsidR="00A90F13">
        <w:fldChar w:fldCharType="end"/>
      </w:r>
      <w:r w:rsidRPr="00FB0ACD">
        <w:t>.</w:t>
      </w:r>
      <w:r>
        <w:t xml:space="preserve"> </w:t>
      </w:r>
      <w:r w:rsidR="008F20A5">
        <w:t xml:space="preserve"> Although not strictly speaking a “science gateway”, t</w:t>
      </w:r>
      <w:r>
        <w:t>he TeraGrid User Portal is a related and similarly architected portal system</w:t>
      </w:r>
      <w:r w:rsidR="000C6C81">
        <w:t xml:space="preserve"> </w:t>
      </w:r>
      <w:r w:rsidR="00A90F13">
        <w:fldChar w:fldCharType="begin"/>
      </w:r>
      <w:r w:rsidR="005D066B">
        <w:instrText xml:space="preserve"> ADDIN EN.CITE &lt;EndNote&gt;&lt;Cite ExcludeYear="1"&gt;&lt;Author&gt;Maytal Dahan&lt;/Author&gt;&lt;Year&gt;2006&lt;/Year&gt;&lt;RecNum&gt;8&lt;/RecNum&gt;&lt;record&gt;&lt;rec-number&gt;8&lt;/rec-number&gt;&lt;foreign-keys&gt;&lt;key app="EN" db-id="t9x9efffjass9fetf02pz5zvpvswfxaa5t5d"&gt;8&lt;/key&gt;&lt;/foreign-keys&gt;&lt;ref-type name="Conference Paper"&gt;47&lt;/ref-type&gt;&lt;contributors&gt;&lt;authors&gt;&lt;author&gt;Maytal Dahan, Eric Roberts&lt;/author&gt;&lt;/authors&gt;&lt;/contributors&gt;&lt;titles&gt;&lt;title&gt;TeraGrid User Portal v1.0: Architecture, Design, and Technologies&lt;/title&gt;&lt;secondary-title&gt;Second International Workshop on Grid Computing Environments GCE06 at SC06&lt;/secondary-title&gt;&lt;/titles&gt;&lt;dates&gt;&lt;year&gt;2006&lt;/year&gt;&lt;/dates&gt;&lt;pub-location&gt;Tampa, FL&lt;/pub-location&gt;&lt;urls&gt;&lt;pdf-urls&gt;&lt;url&gt;internal-pdf://Teragrid User portal-1759924748/Teragrid User portal.pdf&lt;/url&gt;&lt;/pdf-urls&gt;&lt;/urls&gt;&lt;/record&gt;&lt;/Cite&gt;&lt;/EndNote&gt;</w:instrText>
      </w:r>
      <w:r w:rsidR="00A90F13">
        <w:fldChar w:fldCharType="separate"/>
      </w:r>
      <w:r w:rsidR="005D066B">
        <w:t>[2]</w:t>
      </w:r>
      <w:r w:rsidR="00A90F13">
        <w:fldChar w:fldCharType="end"/>
      </w:r>
      <w:r w:rsidR="008F20A5">
        <w:t xml:space="preserve"> that shares many common features with the gateway project. </w:t>
      </w:r>
      <w:r>
        <w:t>TeraGrid gateway development tends to be a heroic effort, requiring full time developers. However, it is poss</w:t>
      </w:r>
      <w:r>
        <w:t>i</w:t>
      </w:r>
      <w:r>
        <w:t>ble to start from a base of reusable software that encaps</w:t>
      </w:r>
      <w:r>
        <w:t>u</w:t>
      </w:r>
      <w:r>
        <w:t>lates basic gateway operations, such as accessing Grid r</w:t>
      </w:r>
      <w:r>
        <w:t>e</w:t>
      </w:r>
      <w:r>
        <w:t xml:space="preserve">sources.  The Open Grid Computing Environments </w:t>
      </w:r>
      <w:r>
        <w:rPr>
          <w:rFonts w:hint="eastAsia"/>
          <w:lang w:eastAsia="ko-KR"/>
        </w:rPr>
        <w:t xml:space="preserve">(OGCE) </w:t>
      </w:r>
      <w:r>
        <w:t xml:space="preserve">project </w:t>
      </w:r>
      <w:r w:rsidR="00A90F13">
        <w:fldChar w:fldCharType="begin"/>
      </w:r>
      <w:r w:rsidR="005D066B">
        <w:instrText xml:space="preserve"> ADDIN EN.CITE &lt;EndNote&gt;&lt;Cite ExcludeYear="1"&gt;&lt;Author&gt;Jay Alameda&lt;/Author&gt;&lt;Year&gt;2007&lt;/Year&gt;&lt;RecNum&gt;1&lt;/RecNum&gt;&lt;record&gt;&lt;rec-number&gt;1&lt;/rec-number&gt;&lt;foreign-keys&gt;&lt;key app="EN" db-id="t9x9efffjass9fetf02pz5zvpvswfxaa5t5d"&gt;1&lt;/key&gt;&lt;/foreign-keys&gt;&lt;ref-type name="Journal Article"&gt;17&lt;/ref-type&gt;&lt;contributors&gt;&lt;authors&gt;&lt;author&gt;Jay Alameda, Marcus Christie Geoffrey Fox Joe Futrelle Dennis Gannon Mihael Hategan Gopi Kandaswamy Gregor von Laszewski Mehmet A. Nacar Marlon Pierce Eric Roberts Charles Severance Mary Thomas&lt;/author&gt;&lt;/authors&gt;&lt;/contributors&gt;&lt;auth-address&gt;National Center for Supercomputing Applications, University of Illinois at Urbana-Champaign, Urbana, IL 61301, U.S.A.; Department of Computer Science, Indiana University, Bloomington, IN 47404, U.S.A.; Community Grids Laboratory, Indiana University, Bloomington, IN 47404, U.S.A.; Computation Institute, University of Chicago, Chicago, IL 60637, U.S.A.; Mathematics and Computer Science Division, Argonne National Laboratory, Argonne, IL 60439, U.S.A.; Texas Advanced Computing Center, University of Texas, Austin, TX 78758-4497, U.S.A.; School of Information, University of Michigan, Ann Arbor, MI 48109-1107, U.S.A.; Department of Computer Science, San Diego State University, San Diego, CA 92182, U.S.A.&lt;/auth-address&gt;&lt;titles&gt;&lt;title&gt;The Open Grid Computing Environments collaboration: portlets and services for science gateways&lt;/title&gt;&lt;secondary-title&gt;Concurrency and Computation: Practice and Experience&lt;/secondary-title&gt;&lt;/titles&gt;&lt;periodical&gt;&lt;full-title&gt;Concurrency and Computation: Practice and Experience&lt;/full-title&gt;&lt;/periodical&gt;&lt;pages&gt;22&lt;/pages&gt;&lt;volume&gt;19&lt;/volume&gt;&lt;number&gt;6&lt;/number&gt;&lt;section&gt;921-942&lt;/section&gt;&lt;dates&gt;&lt;year&gt;2007&lt;/year&gt;&lt;/dates&gt;&lt;isbn&gt;1532-0634&lt;/isbn&gt;&lt;urls&gt;&lt;related-urls&gt;&lt;url&gt;http://dx.doi.org/10.1002/cpe.1078 &lt;/url&gt;&lt;/related-urls&gt;&lt;pdf-urls&gt;&lt;url&gt;internal-pdf://fulltext-2552368396/fulltext.pdf&lt;/url&gt;&lt;/pdf-urls&gt;&lt;/urls&gt;&lt;/record&gt;&lt;/Cite&gt;&lt;/EndNote&gt;</w:instrText>
      </w:r>
      <w:r w:rsidR="00A90F13">
        <w:fldChar w:fldCharType="separate"/>
      </w:r>
      <w:r w:rsidR="005D066B">
        <w:t>[3]</w:t>
      </w:r>
      <w:r w:rsidR="00A90F13">
        <w:fldChar w:fldCharType="end"/>
      </w:r>
      <w:r>
        <w:t xml:space="preserve"> provides one such toolkit for gateway building: several JSR 168 compliant Grid portlets and gateway se</w:t>
      </w:r>
      <w:r>
        <w:t>r</w:t>
      </w:r>
      <w:r>
        <w:t>vices are deployed into the GridSphere portlet container</w:t>
      </w:r>
      <w:r w:rsidR="000C6C81">
        <w:t xml:space="preserve"> </w:t>
      </w:r>
      <w:r w:rsidR="00A90F13">
        <w:fldChar w:fldCharType="begin"/>
      </w:r>
      <w:r w:rsidR="005D066B">
        <w:instrText xml:space="preserve"> ADDIN EN.CITE &lt;EndNote&gt;&lt;Cite ExcludeYear="1"&gt;&lt;Author&gt;Jason Novotny&lt;/Author&gt;&lt;Year&gt;2004&lt;/Year&gt;&lt;RecNum&gt;9&lt;/RecNum&gt;&lt;record&gt;&lt;rec-number&gt;9&lt;/rec-number&gt;&lt;foreign-keys&gt;&lt;key app="EN" db-id="t9x9efffjass9fetf02pz5zvpvswfxaa5t5d"&gt;9&lt;/key&gt;&lt;/foreign-keys&gt;&lt;ref-type name="Journal Article"&gt;17&lt;/ref-type&gt;&lt;contributors&gt;&lt;authors&gt;&lt;author&gt;Jason Novotny, Michael Russell, Oliver Wehrens&lt;/author&gt;&lt;/authors&gt;&lt;/contributors&gt;&lt;titles&gt;&lt;title&gt;GridSphere: a portal framework for building collaborations&lt;/title&gt;&lt;secondary-title&gt;Concurrency - Practice and Experience&lt;/secondary-title&gt;&lt;/titles&gt;&lt;periodical&gt;&lt;full-title&gt;Concurrency - Practice and Experience&lt;/full-title&gt;&lt;/periodical&gt;&lt;pages&gt;503-513&lt;/pages&gt;&lt;volume&gt;16&lt;/volume&gt;&lt;number&gt;5&lt;/number&gt;&lt;dates&gt;&lt;year&gt;2004&lt;/year&gt;&lt;/dates&gt;&lt;urls&gt;&lt;pdf-urls&gt;&lt;url&gt;internal-pdf://Gridsphere a portal framework for build-2398230028/Gridsphere a portal framework for building collaborations.pdf&lt;/url&gt;&lt;/pdf-urls&gt;&lt;/urls&gt;&lt;/record&gt;&lt;/Cite&gt;&lt;/EndNote&gt;</w:instrText>
      </w:r>
      <w:r w:rsidR="00A90F13">
        <w:fldChar w:fldCharType="separate"/>
      </w:r>
      <w:r w:rsidR="005D066B">
        <w:t>[4]</w:t>
      </w:r>
      <w:r w:rsidR="00A90F13">
        <w:fldChar w:fldCharType="end"/>
      </w:r>
      <w:r>
        <w:t>.  OGCE Grid portlets are built on top of Java CoG Grid programming abstractions</w:t>
      </w:r>
      <w:r w:rsidR="000C6C81">
        <w:t xml:space="preserve"> </w:t>
      </w:r>
      <w:r w:rsidR="00A90F13">
        <w:fldChar w:fldCharType="begin"/>
      </w:r>
      <w:r w:rsidR="005D066B">
        <w:instrText xml:space="preserve"> ADDIN EN.CITE &lt;EndNote&gt;&lt;Cite ExcludeYear="1"&gt;&lt;Author&gt;Kaizar&lt;/Author&gt;&lt;Year&gt;2004&lt;/Year&gt;&lt;RecNum&gt;11&lt;/RecNum&gt;&lt;record&gt;&lt;rec-number&gt;11&lt;/rec-number&gt;&lt;foreign-keys&gt;&lt;key app="EN" db-id="t9x9efffjass9fetf02pz5zvpvswfxaa5t5d"&gt;11&lt;/key&gt;&lt;/foreign-keys&gt;&lt;ref-type name="Conference Proceedings"&gt;10&lt;/ref-type&gt;&lt;contributors&gt;&lt;authors&gt;&lt;author&gt;Kaizar, Amin&lt;/author&gt;&lt;author&gt;Mihael, Hategan&lt;/author&gt;&lt;author&gt;Gregor von, Laszewski&lt;/author&gt;&lt;author&gt;Nestor, J. Zaluzec&lt;/author&gt;&lt;/authors&gt;&lt;/contributors&gt;&lt;titles&gt;&lt;title&gt;Abstracting the Grid&lt;/title&gt;&lt;alt-title&gt;pdp&lt;/alt-title&gt;&lt;/titles&gt;&lt;pages&gt;250&lt;/pages&gt;&lt;volume&gt;00&lt;/volume&gt;&lt;dates&gt;&lt;year&gt;2004&lt;/year&gt;&lt;/dates&gt;&lt;isbn&gt;1066-6192&lt;/isbn&gt;&lt;urls&gt;&lt;related-urls&gt;&lt;url&gt;http://csdl.computer.org/dl/proceedings/pdp/2004/2083/00/20830250.pdf&lt;/url&gt;&lt;/related-urls&gt;&lt;pdf-urls&gt;&lt;url&gt;internal-pdf://Abstracting the Grid-1895206156/Abstracting the Grid.pdf&lt;/url&gt;&lt;/pdf-urls&gt;&lt;/urls&gt;&lt;/record&gt;&lt;/Cite&gt;&lt;/EndNote&gt;</w:instrText>
      </w:r>
      <w:r w:rsidR="00A90F13">
        <w:fldChar w:fldCharType="separate"/>
      </w:r>
      <w:r w:rsidR="005D066B">
        <w:t>[5]</w:t>
      </w:r>
      <w:r w:rsidR="00A90F13">
        <w:fldChar w:fldCharType="end"/>
      </w:r>
      <w:r>
        <w:t>.</w:t>
      </w:r>
      <w:r w:rsidR="001A7A4B">
        <w:t xml:space="preserve"> </w:t>
      </w:r>
      <w:r w:rsidR="001A7A4B" w:rsidRPr="00A65380">
        <w:t xml:space="preserve">On the other hand, there are parallel efforts </w:t>
      </w:r>
      <w:r w:rsidR="0047435F" w:rsidRPr="00A65380">
        <w:t>such as</w:t>
      </w:r>
      <w:r w:rsidR="001A7A4B" w:rsidRPr="00A65380">
        <w:t xml:space="preserve"> Grid Portlets by GridSphere team</w:t>
      </w:r>
      <w:r w:rsidR="00B25DBB">
        <w:t xml:space="preserve"> </w:t>
      </w:r>
      <w:r w:rsidR="00A90F13">
        <w:fldChar w:fldCharType="begin"/>
      </w:r>
      <w:r w:rsidR="005D066B">
        <w:instrText xml:space="preserve"> ADDIN EN.CITE &lt;EndNote&gt;&lt;Cite&gt;&lt;Author&gt;Michael&lt;/Author&gt;&lt;Year&gt;2006&lt;/Year&gt;&lt;RecNum&gt;66&lt;/RecNum&gt;&lt;record&gt;&lt;rec-number&gt;66&lt;/rec-number&gt;&lt;foreign-keys&gt;&lt;key app="EN" db-id="t9x9efffjass9fetf02pz5zvpvswfxaa5t5d"&gt;66&lt;/key&gt;&lt;/foreign-keys&gt;&lt;ref-type name="Book"&gt;6&lt;/ref-type&gt;&lt;contributors&gt;&lt;authors&gt;&lt;author&gt;Michael, Russell&lt;/author&gt;&lt;author&gt;Jason, Novotny&lt;/author&gt;&lt;author&gt;Oliver, Wehrens&lt;/author&gt;&lt;/authors&gt;&lt;/contributors&gt;&lt;titles&gt;&lt;title&gt;The Grid Portlets Web Application: A Grid Portal Framework&lt;/title&gt;&lt;secondary-title&gt;Parallel Processing and Applied Mathematics&lt;/secondary-title&gt;&lt;/titles&gt;&lt;pages&gt;691-698&lt;/pages&gt;&lt;dates&gt;&lt;year&gt;2006&lt;/year&gt;&lt;/dates&gt;&lt;urls&gt;&lt;related-urls&gt;&lt;url&gt;http://dx.doi.org/10.1007/11752578_83 &lt;/url&gt;&lt;/related-urls&gt;&lt;pdf-urls&gt;&lt;url&gt;internal-pdf://GridSphere&amp;apos;s Grid Portlets.pdf-3754584096/GridSphere&amp;apos;s Grid Portlets.pdf.lnk&lt;/url&gt;&lt;/pdf-urls&gt;&lt;/urls&gt;&lt;/record&gt;&lt;/Cite&gt;&lt;Cite&gt;&lt;Author&gt;Michael&lt;/Author&gt;&lt;Year&gt;2006&lt;/Year&gt;&lt;RecNum&gt;66&lt;/RecNum&gt;&lt;record&gt;&lt;rec-number&gt;66&lt;/rec-number&gt;&lt;foreign-keys&gt;&lt;key app="EN" db-id="t9x9efffjass9fetf02pz5zvpvswfxaa5t5d"&gt;66&lt;/key&gt;&lt;/foreign-keys&gt;&lt;ref-type name="Book"&gt;6&lt;/ref-type&gt;&lt;contributors&gt;&lt;authors&gt;&lt;author&gt;Michael, Russell&lt;/author&gt;&lt;author&gt;Jason, Novotny&lt;/author&gt;&lt;author&gt;Oliver, Wehrens&lt;/author&gt;&lt;/authors&gt;&lt;/contributors&gt;&lt;titles&gt;&lt;title&gt;The Grid Portlets Web Application: A Grid Portal Framework&lt;/title&gt;&lt;secondary-title&gt;Parallel Processing and Applied Mathematics&lt;/secondary-title&gt;&lt;/titles&gt;&lt;pages&gt;691-698&lt;/pages&gt;&lt;dates&gt;&lt;year&gt;2006&lt;/year&gt;&lt;/dates&gt;&lt;urls&gt;&lt;related-urls&gt;&lt;url&gt;http://dx.doi.org/10.1007/11752578_83 &lt;/url&gt;&lt;/related-urls&gt;&lt;pdf-urls&gt;&lt;url&gt;internal-pdf://GridSphere&amp;apos;s Grid Portlets.pdf-3754584096/GridSphere&amp;apos;s Grid Portlets.pdf.lnk&lt;/url&gt;&lt;/pdf-urls&gt;&lt;/urls&gt;&lt;/record&gt;&lt;/Cite&gt;&lt;/EndNote&gt;</w:instrText>
      </w:r>
      <w:r w:rsidR="00A90F13">
        <w:fldChar w:fldCharType="separate"/>
      </w:r>
      <w:r w:rsidR="005D066B">
        <w:t>[6]</w:t>
      </w:r>
      <w:r w:rsidR="00A90F13">
        <w:fldChar w:fldCharType="end"/>
      </w:r>
      <w:r w:rsidR="0047435F" w:rsidRPr="00A65380">
        <w:t>.</w:t>
      </w:r>
      <w:r w:rsidR="00092745" w:rsidRPr="00A65380">
        <w:t xml:space="preserve">  Grid portlets provide a set of capabilities that support Grid services within GridSphere portal framework.</w:t>
      </w:r>
    </w:p>
    <w:p w:rsidR="00B84595" w:rsidRPr="00A65380" w:rsidRDefault="002234E1" w:rsidP="00B84595">
      <w:r>
        <w:t xml:space="preserve">This paper describes our efforts using the OGCE portal software to build a portal that combines characteristics of a “system” portal (incorporating some TeraGrid User Portal features such as GPIR resource browsing) and a </w:t>
      </w:r>
      <w:r w:rsidR="00DE6AA0">
        <w:t xml:space="preserve">science </w:t>
      </w:r>
      <w:r>
        <w:t xml:space="preserve">gateway for bioinformatics applications.  Our primary backend resource is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’s Big Red supe</w:t>
      </w:r>
      <w:r>
        <w:t>r</w:t>
      </w:r>
      <w:r>
        <w:t xml:space="preserve">computer (part of TeraGrid), but our portlets have been tested across other TeraGrid resources. </w:t>
      </w:r>
      <w:r w:rsidR="001A7A4B" w:rsidRPr="00A65380">
        <w:t>However, Big Red portal can handle community accounts in large by mana</w:t>
      </w:r>
      <w:r w:rsidR="001A7A4B" w:rsidRPr="00A65380">
        <w:t>g</w:t>
      </w:r>
      <w:r w:rsidR="001A7A4B" w:rsidRPr="00A65380">
        <w:t>ing a myproxy repository that stores many certificate a</w:t>
      </w:r>
      <w:r w:rsidR="001A7A4B" w:rsidRPr="00A65380">
        <w:t>u</w:t>
      </w:r>
      <w:r w:rsidR="001A7A4B" w:rsidRPr="00A65380">
        <w:t>thorities including TeraGrid.</w:t>
      </w:r>
      <w:r w:rsidR="001A7A4B">
        <w:t xml:space="preserve"> </w:t>
      </w:r>
      <w:r>
        <w:t>The second half of the paper reviews our work to simplify the development of these po</w:t>
      </w:r>
      <w:r>
        <w:t>r</w:t>
      </w:r>
      <w:r>
        <w:t>tlets by using Grid tag libraries, which encapsulate co</w:t>
      </w:r>
      <w:r>
        <w:t>m</w:t>
      </w:r>
      <w:r>
        <w:t>mon Grid tasks.</w:t>
      </w:r>
      <w:r w:rsidR="00092745">
        <w:t xml:space="preserve"> </w:t>
      </w:r>
      <w:r w:rsidR="00B84595" w:rsidRPr="00A65380">
        <w:t>Our work on Grid Tags Libraries And Beans (GTLAB) provides a set of Java Server Faces (JSF) tag libraries and backing Grid beans that attempt to solve this problem</w:t>
      </w:r>
      <w:r w:rsidR="005D066B">
        <w:t xml:space="preserve"> </w:t>
      </w:r>
      <w:r w:rsidR="00A90F13">
        <w:fldChar w:fldCharType="begin"/>
      </w:r>
      <w:r w:rsidR="005D066B">
        <w:instrText xml:space="preserve"> ADDIN EN.CITE &lt;EndNote&gt;&lt;Cite&gt;&lt;Author&gt;Mehmet Nacar&lt;/Author&gt;&lt;Year&gt;2006&lt;/Year&gt;&lt;RecNum&gt;13&lt;/RecNum&gt;&lt;record&gt;&lt;rec-number&gt;13&lt;/rec-number&gt;&lt;foreign-keys&gt;&lt;key app="EN" db-id="t9x9efffjass9fetf02pz5zvpvswfxaa5t5d"&gt;13&lt;/key&gt;&lt;/foreign-keys&gt;&lt;ref-type name="Conference Paper"&gt;47&lt;/ref-type&gt;&lt;contributors&gt;&lt;authors&gt;&lt;author&gt;Mehmet Nacar, Marlon Pierce, Gordon Erlebacher, Geoffrey Fox&lt;/author&gt;&lt;/authors&gt;&lt;/contributors&gt;&lt;titles&gt;&lt;title&gt;Designing Grid Tag Libraries and Grid Beans&lt;/title&gt;&lt;secondary-title&gt;Second International Workshop on Grid Computing Environments GCE06 at SC06&lt;/secondary-title&gt;&lt;/titles&gt;&lt;dates&gt;&lt;year&gt;2006&lt;/year&gt;&lt;pub-dates&gt;&lt;date&gt;Nov. 12-13 2006&lt;/date&gt;&lt;/pub-dates&gt;&lt;/dates&gt;&lt;pub-location&gt;Tampa, FL&lt;/pub-location&gt;&lt;urls&gt;&lt;related-urls&gt;&lt;url&gt;http://www.cogkit.org/GCE06/papers/CameraReady_130.pdf&lt;/url&gt;&lt;/related-urls&gt;&lt;pdf-urls&gt;&lt;url&gt;internal-pdf://JSF Grid Tags and Grid Beans-5-comments-final-1694257420/JSF Grid Tags and Grid Beans-5-comments-final.pdf&lt;/url&gt;&lt;/pdf-urls&gt;&lt;/urls&gt;&lt;/record&gt;&lt;/Cite&gt;&lt;Cite&gt;&lt;Author&gt;Mehmet A. Nacar&lt;/Author&gt;&lt;Year&gt;2007&lt;/Year&gt;&lt;RecNum&gt;14&lt;/RecNum&gt;&lt;record&gt;&lt;rec-number&gt;14&lt;/rec-number&gt;&lt;foreign-keys&gt;&lt;key app="EN" db-id="t9x9efffjass9fetf02pz5zvpvswfxaa5t5d"&gt;14&lt;/key&gt;&lt;/foreign-keys&gt;&lt;ref-type name="Journal Article"&gt;17&lt;/ref-type&gt;&lt;contributors&gt;&lt;authors&gt;&lt;author&gt;Mehmet A. Nacar, Mehmet S. Aktas, Marlon Pierce, Zhenyu Lu and Gordon Erlebacher, Dan Kigelman, Evan F. Bollig, Cesar De Silva, Benny Sowell, and David A. Yuen&lt;/author&gt;&lt;/authors&gt;&lt;/contributors&gt;&lt;titles&gt;&lt;title&gt;VLab: Collaborative Grid Services and Portals to Support Computational Material Science &lt;/title&gt;&lt;secondary-title&gt;Concurrency and Computation: Practice and Experience&lt;/secondary-title&gt;&lt;/titles&gt;&lt;periodical&gt;&lt;full-title&gt;Concurrency and Computation: Practice and Experience&lt;/full-title&gt;&lt;/periodical&gt;&lt;number&gt;Special issue on Grid portals&lt;/number&gt;&lt;dates&gt;&lt;year&gt;2007&lt;/year&gt;&lt;/dates&gt;&lt;urls&gt;&lt;pdf-urls&gt;&lt;url&gt;internal-pdf://Microsoft Word - VLAB-GCE2005-Erlebacher-Final-3590278668/Microsoft Word - VLAB-GCE2005-Erlebacher-Final.pdf&lt;/url&gt;&lt;/pdf-urls&gt;&lt;/urls&gt;&lt;/record&gt;&lt;/Cite&gt;&lt;/EndNote&gt;</w:instrText>
      </w:r>
      <w:r w:rsidR="00A90F13">
        <w:fldChar w:fldCharType="separate"/>
      </w:r>
      <w:r w:rsidR="005D066B">
        <w:t>[7, 8]</w:t>
      </w:r>
      <w:r w:rsidR="00A90F13">
        <w:fldChar w:fldCharType="end"/>
      </w:r>
      <w:r w:rsidR="00B84595" w:rsidRPr="00A65380">
        <w:t xml:space="preserve">.  </w:t>
      </w:r>
    </w:p>
    <w:p w:rsidR="00B84595" w:rsidRDefault="00B84595" w:rsidP="002234E1">
      <w:r w:rsidRPr="00A65380">
        <w:t>The goal of GTLAB is to simplify the process of Grid por</w:t>
      </w:r>
      <w:r w:rsidRPr="00A65380">
        <w:t>t</w:t>
      </w:r>
      <w:r w:rsidRPr="00A65380">
        <w:t xml:space="preserve">let development by encapsulating common Grid operations </w:t>
      </w:r>
      <w:r w:rsidRPr="00A65380">
        <w:lastRenderedPageBreak/>
        <w:t>as XML tags that can be embedded in portlet pages, enab</w:t>
      </w:r>
      <w:r w:rsidRPr="00A65380">
        <w:t>l</w:t>
      </w:r>
      <w:r w:rsidRPr="00A65380">
        <w:t>ing rapid development. GTLAB capabilities include crede</w:t>
      </w:r>
      <w:r w:rsidRPr="00A65380">
        <w:t>n</w:t>
      </w:r>
      <w:r w:rsidRPr="00A65380">
        <w:t>tial management, remote file operations, remote job exec</w:t>
      </w:r>
      <w:r w:rsidRPr="00A65380">
        <w:t>u</w:t>
      </w:r>
      <w:r w:rsidRPr="00A65380">
        <w:t>tions, and file transfers.</w:t>
      </w:r>
    </w:p>
    <w:p w:rsidR="00110DEE" w:rsidRPr="00090B1E" w:rsidRDefault="00110DEE" w:rsidP="002234E1">
      <w:r>
        <w:t xml:space="preserve">The remainder of the paper is organized as follows. In the next section we present Big Red portal effort by using OGCE portlets. Section 3 discusses efforts to enable Big Red portal to integrate GTLAB. </w:t>
      </w:r>
      <w:r w:rsidR="009906D1">
        <w:t xml:space="preserve"> Finally, section 4 concludes the paper.</w:t>
      </w:r>
    </w:p>
    <w:p w:rsidR="002234E1" w:rsidRPr="00B65163" w:rsidRDefault="002234E1" w:rsidP="002234E1">
      <w:pPr>
        <w:pStyle w:val="Heading1"/>
      </w:pPr>
      <w:r>
        <w:rPr>
          <w:rStyle w:val="Figurereferenceto"/>
          <w:bCs/>
          <w:color w:val="000000"/>
        </w:rPr>
        <w:t>2</w:t>
      </w:r>
      <w:r w:rsidRPr="00711741">
        <w:rPr>
          <w:rStyle w:val="Figurereferenceto"/>
          <w:bCs/>
          <w:color w:val="000000"/>
        </w:rPr>
        <w:tab/>
      </w:r>
      <w:r>
        <w:t>Extending</w:t>
      </w:r>
      <w:r w:rsidRPr="00B65163">
        <w:t xml:space="preserve"> OGCE to </w:t>
      </w:r>
      <w:r>
        <w:t>S</w:t>
      </w:r>
      <w:r w:rsidRPr="00B65163">
        <w:t xml:space="preserve">upport Big Red </w:t>
      </w:r>
      <w:r>
        <w:t>P</w:t>
      </w:r>
      <w:r w:rsidRPr="00B65163">
        <w:t xml:space="preserve">ortal </w:t>
      </w:r>
    </w:p>
    <w:p w:rsidR="00B26B15" w:rsidRDefault="002234E1">
      <w:r>
        <w:t xml:space="preserve">Big Red is a major new TeraGrid resource and one of the </w:t>
      </w:r>
      <w:r w:rsidR="00DE6AA0">
        <w:t xml:space="preserve">most powerful </w:t>
      </w:r>
      <w:r>
        <w:t>computers in the world.  As with all TeraG</w:t>
      </w:r>
      <w:r>
        <w:t>r</w:t>
      </w:r>
      <w:r>
        <w:t xml:space="preserve">id resources, it runs the Coordinated TeraGrid Software and Services, which includes Globus services.  One of </w:t>
      </w:r>
      <w:r w:rsidR="00427744">
        <w:t>Big Red’s</w:t>
      </w:r>
      <w:r>
        <w:t xml:space="preserve"> initial applications is </w:t>
      </w:r>
      <w:r>
        <w:rPr>
          <w:rFonts w:hint="eastAsia"/>
          <w:lang w:eastAsia="ko-KR"/>
        </w:rPr>
        <w:t>Mutiple E</w:t>
      </w:r>
      <w:r>
        <w:rPr>
          <w:lang w:eastAsia="ko-KR"/>
        </w:rPr>
        <w:t>M</w:t>
      </w:r>
      <w:r>
        <w:rPr>
          <w:rFonts w:hint="eastAsia"/>
          <w:lang w:eastAsia="ko-KR"/>
        </w:rPr>
        <w:t xml:space="preserve"> for Motif Elicitation</w:t>
      </w:r>
      <w:r>
        <w:rPr>
          <w:rFonts w:hint="eastAsia"/>
          <w:noProof/>
          <w:lang w:eastAsia="ko-KR"/>
        </w:rPr>
        <w:t xml:space="preserve"> </w:t>
      </w:r>
      <w:r>
        <w:rPr>
          <w:noProof/>
          <w:lang w:eastAsia="ko-KR"/>
        </w:rPr>
        <w:t>(</w:t>
      </w:r>
      <w:r w:rsidRPr="000E01BA">
        <w:rPr>
          <w:rFonts w:ascii="Times New Roman" w:hAnsi="Times New Roman"/>
          <w:sz w:val="22"/>
        </w:rPr>
        <w:t>MEME</w:t>
      </w:r>
      <w:r>
        <w:t>)</w:t>
      </w:r>
      <w:r w:rsidR="005D066B">
        <w:rPr>
          <w:lang w:eastAsia="ko-KR"/>
        </w:rPr>
        <w:t xml:space="preserve"> [9</w:t>
      </w:r>
      <w:r w:rsidR="000C6C81">
        <w:rPr>
          <w:lang w:eastAsia="ko-KR"/>
        </w:rPr>
        <w:t>]</w:t>
      </w:r>
      <w:r w:rsidRPr="00B65163">
        <w:t>.</w:t>
      </w:r>
      <w:r>
        <w:t xml:space="preserve"> </w:t>
      </w:r>
      <w:r w:rsidRPr="00B65163">
        <w:t>MEME is used to discover common motifs in groups of DNA or protein sequences. Due to its comput</w:t>
      </w:r>
      <w:r w:rsidRPr="00B65163">
        <w:t>a</w:t>
      </w:r>
      <w:r w:rsidRPr="00B65163">
        <w:t xml:space="preserve">tional complexity, MEME </w:t>
      </w:r>
      <w:r>
        <w:t xml:space="preserve">should be executed </w:t>
      </w:r>
      <w:r w:rsidRPr="00B65163">
        <w:t xml:space="preserve">in </w:t>
      </w:r>
      <w:r>
        <w:t xml:space="preserve">a </w:t>
      </w:r>
      <w:r w:rsidRPr="00B65163">
        <w:t>rich r</w:t>
      </w:r>
      <w:r w:rsidRPr="00B65163">
        <w:t>e</w:t>
      </w:r>
      <w:r w:rsidRPr="00B65163">
        <w:t xml:space="preserve">source environment such as Big Red. However, to execute MEME </w:t>
      </w:r>
      <w:r>
        <w:t>on</w:t>
      </w:r>
      <w:r w:rsidRPr="00B65163">
        <w:t xml:space="preserve"> Big Red, a user </w:t>
      </w:r>
      <w:r>
        <w:t>must not only be familiar with the application itself: he or she must also understand var</w:t>
      </w:r>
      <w:r>
        <w:t>i</w:t>
      </w:r>
      <w:r>
        <w:t xml:space="preserve">ous </w:t>
      </w:r>
      <w:r w:rsidRPr="00B65163">
        <w:t xml:space="preserve">network tools </w:t>
      </w:r>
      <w:r>
        <w:t xml:space="preserve">such as FTP for </w:t>
      </w:r>
      <w:r w:rsidRPr="00B65163">
        <w:t>upload</w:t>
      </w:r>
      <w:r>
        <w:t>ing</w:t>
      </w:r>
      <w:r w:rsidRPr="00B65163">
        <w:t xml:space="preserve"> </w:t>
      </w:r>
      <w:r>
        <w:t xml:space="preserve">and </w:t>
      </w:r>
      <w:r w:rsidRPr="00B65163">
        <w:t>dow</w:t>
      </w:r>
      <w:r w:rsidRPr="00B65163">
        <w:t>n</w:t>
      </w:r>
      <w:r w:rsidRPr="00B65163">
        <w:t>load</w:t>
      </w:r>
      <w:r>
        <w:t>ing</w:t>
      </w:r>
      <w:r w:rsidRPr="00B65163">
        <w:t xml:space="preserve"> input and output file</w:t>
      </w:r>
      <w:r>
        <w:t>s, and he or she must unde</w:t>
      </w:r>
      <w:r>
        <w:t>r</w:t>
      </w:r>
      <w:r>
        <w:t>stand Big Red’s LoadLeveler and MOAB-based scheduling and queuing system</w:t>
      </w:r>
      <w:r w:rsidRPr="00B65163">
        <w:t xml:space="preserve"> </w:t>
      </w:r>
      <w:r>
        <w:t xml:space="preserve">in order </w:t>
      </w:r>
      <w:r w:rsidRPr="00B65163">
        <w:t xml:space="preserve">to </w:t>
      </w:r>
      <w:r>
        <w:t xml:space="preserve">submit, </w:t>
      </w:r>
      <w:r w:rsidRPr="00B65163">
        <w:t>monitor and co</w:t>
      </w:r>
      <w:r w:rsidRPr="00B65163">
        <w:t>n</w:t>
      </w:r>
      <w:r w:rsidRPr="00B65163">
        <w:t>trol</w:t>
      </w:r>
      <w:r>
        <w:t xml:space="preserve"> jobs</w:t>
      </w:r>
      <w:r w:rsidRPr="00B65163">
        <w:t xml:space="preserve">. This kind of inconvenience can be easily overcome by making a specific portlet that </w:t>
      </w:r>
      <w:r>
        <w:t xml:space="preserve">allows </w:t>
      </w:r>
      <w:r w:rsidRPr="00B65163">
        <w:t xml:space="preserve">a user </w:t>
      </w:r>
      <w:r>
        <w:t>to</w:t>
      </w:r>
      <w:r w:rsidRPr="00B65163">
        <w:t xml:space="preserve"> execute </w:t>
      </w:r>
      <w:r w:rsidR="00427744">
        <w:t xml:space="preserve">the </w:t>
      </w:r>
      <w:r w:rsidRPr="00B65163">
        <w:t xml:space="preserve">MEME application by using </w:t>
      </w:r>
      <w:r>
        <w:t xml:space="preserve">a </w:t>
      </w:r>
      <w:r w:rsidRPr="00B65163">
        <w:t xml:space="preserve">science portal </w:t>
      </w:r>
      <w:r>
        <w:t xml:space="preserve">based on the </w:t>
      </w:r>
      <w:r w:rsidRPr="00B65163">
        <w:t>OGCE</w:t>
      </w:r>
      <w:r w:rsidR="000C6C81">
        <w:t xml:space="preserve"> </w:t>
      </w:r>
      <w:r w:rsidR="000C6C81">
        <w:rPr>
          <w:lang w:eastAsia="ko-KR"/>
        </w:rPr>
        <w:t>[3]</w:t>
      </w:r>
      <w:r w:rsidRPr="00B65163">
        <w:t xml:space="preserve">. In addition to MEME execution, we can add file management </w:t>
      </w:r>
      <w:r>
        <w:t>and</w:t>
      </w:r>
      <w:r w:rsidRPr="00B65163">
        <w:t xml:space="preserve"> job control functionality into the por</w:t>
      </w:r>
      <w:r w:rsidRPr="00B65163">
        <w:t>t</w:t>
      </w:r>
      <w:r w:rsidRPr="00B65163">
        <w:t xml:space="preserve">let by using Java </w:t>
      </w:r>
      <w:r>
        <w:rPr>
          <w:rFonts w:hint="eastAsia"/>
          <w:lang w:eastAsia="ko-KR"/>
        </w:rPr>
        <w:t>Commodity Grid (CoG)</w:t>
      </w:r>
      <w:r w:rsidRPr="00B65163">
        <w:t xml:space="preserve"> toolkit</w:t>
      </w:r>
      <w:r>
        <w:t xml:space="preserve"> </w:t>
      </w:r>
      <w:r w:rsidR="00A90F13">
        <w:rPr>
          <w:lang w:eastAsia="ko-KR"/>
        </w:rPr>
        <w:fldChar w:fldCharType="begin"/>
      </w:r>
      <w:r w:rsidR="00920123">
        <w:rPr>
          <w:lang w:eastAsia="ko-KR"/>
        </w:rPr>
        <w:instrText xml:space="preserve"> </w:instrText>
      </w:r>
      <w:r w:rsidR="00920123">
        <w:rPr>
          <w:rFonts w:hint="eastAsia"/>
          <w:lang w:eastAsia="ko-KR"/>
        </w:rPr>
        <w:instrText>REF _Ref158731486 \r \h</w:instrText>
      </w:r>
      <w:r w:rsidR="00920123">
        <w:rPr>
          <w:lang w:eastAsia="ko-KR"/>
        </w:rPr>
        <w:instrText xml:space="preserve"> </w:instrText>
      </w:r>
      <w:r w:rsidR="00A90F13">
        <w:rPr>
          <w:lang w:eastAsia="ko-KR"/>
        </w:rPr>
      </w:r>
      <w:r w:rsidR="00A90F13">
        <w:rPr>
          <w:lang w:eastAsia="ko-KR"/>
        </w:rPr>
        <w:fldChar w:fldCharType="separate"/>
      </w:r>
      <w:r w:rsidR="00FE3B71">
        <w:rPr>
          <w:lang w:eastAsia="ko-KR"/>
        </w:rPr>
        <w:t>[5]</w:t>
      </w:r>
      <w:r w:rsidR="00A90F13">
        <w:rPr>
          <w:lang w:eastAsia="ko-KR"/>
        </w:rPr>
        <w:fldChar w:fldCharType="end"/>
      </w:r>
      <w:r w:rsidR="00920123">
        <w:rPr>
          <w:lang w:eastAsia="ko-KR"/>
        </w:rPr>
        <w:t xml:space="preserve"> </w:t>
      </w:r>
      <w:r w:rsidRPr="00B65163">
        <w:t>to uti</w:t>
      </w:r>
      <w:r w:rsidRPr="00B65163">
        <w:t>l</w:t>
      </w:r>
      <w:r w:rsidRPr="00B65163">
        <w:t>ize</w:t>
      </w:r>
      <w:r w:rsidR="00427744">
        <w:t xml:space="preserve"> Big Red’s </w:t>
      </w:r>
      <w:r w:rsidRPr="00B65163">
        <w:t>Grid infrastructure.</w:t>
      </w:r>
      <w:r w:rsidRPr="00E17065">
        <w:t xml:space="preserve"> </w:t>
      </w:r>
    </w:p>
    <w:p w:rsidR="002234E1" w:rsidRPr="00711741" w:rsidRDefault="002234E1" w:rsidP="002234E1">
      <w:pPr>
        <w:pStyle w:val="Heading2"/>
        <w:rPr>
          <w:bCs/>
          <w:color w:val="000000"/>
        </w:rPr>
      </w:pPr>
      <w:r>
        <w:rPr>
          <w:bCs/>
          <w:color w:val="000000"/>
        </w:rPr>
        <w:t>2</w:t>
      </w:r>
      <w:r w:rsidRPr="00711741">
        <w:rPr>
          <w:bCs/>
          <w:color w:val="000000"/>
        </w:rPr>
        <w:t xml:space="preserve">.1 </w:t>
      </w:r>
      <w:r w:rsidRPr="00B65163">
        <w:t xml:space="preserve">Making MEME </w:t>
      </w:r>
      <w:r>
        <w:t>P</w:t>
      </w:r>
      <w:r w:rsidRPr="00B65163">
        <w:t xml:space="preserve">ortlet </w:t>
      </w:r>
      <w:r>
        <w:t>O</w:t>
      </w:r>
      <w:r w:rsidRPr="00B65163">
        <w:t xml:space="preserve">ut of GRAM and GridFTP </w:t>
      </w:r>
      <w:r>
        <w:t>L</w:t>
      </w:r>
      <w:r w:rsidRPr="00B65163">
        <w:t>ibraries</w:t>
      </w:r>
      <w:r>
        <w:rPr>
          <w:bCs/>
          <w:color w:val="000000"/>
        </w:rPr>
        <w:t xml:space="preserve"> </w:t>
      </w:r>
    </w:p>
    <w:p w:rsidR="002234E1" w:rsidRDefault="002234E1" w:rsidP="002234E1">
      <w:pPr>
        <w:rPr>
          <w:lang w:eastAsia="ko-KR"/>
        </w:rPr>
      </w:pPr>
      <w:r>
        <w:t>The m</w:t>
      </w:r>
      <w:r w:rsidRPr="00B65163">
        <w:t xml:space="preserve">ain function of </w:t>
      </w:r>
      <w:r>
        <w:t xml:space="preserve">the </w:t>
      </w:r>
      <w:r w:rsidRPr="00B65163">
        <w:t xml:space="preserve">MEME portlet </w:t>
      </w:r>
      <w:r>
        <w:rPr>
          <w:rFonts w:hint="eastAsia"/>
          <w:lang w:eastAsia="ko-KR"/>
        </w:rPr>
        <w:t xml:space="preserve">(Figure 1) </w:t>
      </w:r>
      <w:r w:rsidRPr="00B65163">
        <w:t xml:space="preserve">is to submit a MEME job to a remote </w:t>
      </w:r>
      <w:r>
        <w:t>TeraGrid resource</w:t>
      </w:r>
      <w:r w:rsidRPr="00B65163">
        <w:t xml:space="preserve"> such as Big Red. </w:t>
      </w:r>
      <w:r>
        <w:t xml:space="preserve">This can be done either interactively (for very small jobs) or through </w:t>
      </w:r>
      <w:r w:rsidR="00427744">
        <w:t>Big Red’s queuing system</w:t>
      </w:r>
      <w:r>
        <w:t xml:space="preserve">. </w:t>
      </w:r>
      <w:r w:rsidRPr="00B65163">
        <w:t xml:space="preserve">To </w:t>
      </w:r>
      <w:r>
        <w:t>pr</w:t>
      </w:r>
      <w:r>
        <w:t>o</w:t>
      </w:r>
      <w:r>
        <w:t>vide a</w:t>
      </w:r>
      <w:r w:rsidRPr="00B65163">
        <w:t xml:space="preserve"> more convenient and user-friendly interface, </w:t>
      </w:r>
      <w:r>
        <w:t xml:space="preserve">our </w:t>
      </w:r>
      <w:r w:rsidRPr="00B65163">
        <w:t xml:space="preserve">MEME portlet also enables a user to transfer input and output files to/from the remote server and track the status of a submitted job. For example, a user can upload a gene sequence file to a remote server and submit a job to execute </w:t>
      </w:r>
      <w:r w:rsidRPr="00B65163">
        <w:lastRenderedPageBreak/>
        <w:t>MEME application with the file as an input. After submi</w:t>
      </w:r>
      <w:r w:rsidRPr="00B65163">
        <w:t>s</w:t>
      </w:r>
      <w:r w:rsidRPr="00B65163">
        <w:t>sion, a user can check whether the job is completed or not. Once the job is completed, a user can download output files from the server to his local machine. From the user’s per</w:t>
      </w:r>
      <w:r w:rsidRPr="00B65163">
        <w:t>s</w:t>
      </w:r>
      <w:r w:rsidRPr="00B65163">
        <w:t xml:space="preserve">pective, such operations can be done by simply clicking a few buttons. </w:t>
      </w:r>
      <w:r>
        <w:t xml:space="preserve"> Under the user interface, t</w:t>
      </w:r>
      <w:r w:rsidRPr="00B65163">
        <w:t>he main</w:t>
      </w:r>
      <w:r>
        <w:t xml:space="preserve"> Grid </w:t>
      </w:r>
      <w:r w:rsidRPr="00B65163">
        <w:t xml:space="preserve">tasks </w:t>
      </w:r>
      <w:r>
        <w:t xml:space="preserve">that the </w:t>
      </w:r>
      <w:r w:rsidRPr="00B65163">
        <w:t xml:space="preserve">MEME portlet </w:t>
      </w:r>
      <w:r>
        <w:rPr>
          <w:rFonts w:hint="eastAsia"/>
          <w:lang w:eastAsia="ko-KR"/>
        </w:rPr>
        <w:t>performs</w:t>
      </w:r>
      <w:r w:rsidRPr="00B65163">
        <w:t xml:space="preserve"> are submitting </w:t>
      </w:r>
      <w:r>
        <w:t xml:space="preserve">the </w:t>
      </w:r>
      <w:r w:rsidRPr="00B65163">
        <w:t xml:space="preserve">job, running </w:t>
      </w:r>
      <w:r>
        <w:t>the GridFTP</w:t>
      </w:r>
      <w:r w:rsidRPr="00B65163">
        <w:t xml:space="preserve"> client, and checking </w:t>
      </w:r>
      <w:r>
        <w:t>the</w:t>
      </w:r>
      <w:r w:rsidRPr="00B65163">
        <w:t xml:space="preserve"> submitted job</w:t>
      </w:r>
      <w:r>
        <w:t>’s</w:t>
      </w:r>
      <w:r>
        <w:rPr>
          <w:rFonts w:hint="eastAsia"/>
          <w:lang w:eastAsia="ko-KR"/>
        </w:rPr>
        <w:t xml:space="preserve"> status</w:t>
      </w:r>
      <w:r w:rsidRPr="00B65163">
        <w:t xml:space="preserve">. </w:t>
      </w:r>
    </w:p>
    <w:p w:rsidR="00A90F13" w:rsidRDefault="006F406D" w:rsidP="00A90F13">
      <w:pPr>
        <w:ind w:firstLine="0"/>
      </w:pPr>
      <w:r>
        <w:rPr>
          <w:noProof/>
        </w:rPr>
        <w:drawing>
          <wp:anchor distT="0" distB="0" distL="114300" distR="114300" simplePos="0" relativeHeight="251654144" behindDoc="0" locked="0" layoutInCell="1" allowOverlap="1">
            <wp:simplePos x="0" y="0"/>
            <wp:positionH relativeFrom="column">
              <wp:posOffset>16510</wp:posOffset>
            </wp:positionH>
            <wp:positionV relativeFrom="paragraph">
              <wp:posOffset>598170</wp:posOffset>
            </wp:positionV>
            <wp:extent cx="3201035" cy="2536190"/>
            <wp:effectExtent l="19050" t="0" r="0" b="0"/>
            <wp:wrapSquare wrapText="bothSides"/>
            <wp:docPr id="121" name="Picture 110" descr="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EME"/>
                    <pic:cNvPicPr>
                      <a:picLocks noChangeAspect="1" noChangeArrowheads="1"/>
                    </pic:cNvPicPr>
                  </pic:nvPicPr>
                  <pic:blipFill>
                    <a:blip r:embed="rId14"/>
                    <a:srcRect/>
                    <a:stretch>
                      <a:fillRect/>
                    </a:stretch>
                  </pic:blipFill>
                  <pic:spPr bwMode="auto">
                    <a:xfrm>
                      <a:off x="0" y="0"/>
                      <a:ext cx="3201035" cy="2536190"/>
                    </a:xfrm>
                    <a:prstGeom prst="rect">
                      <a:avLst/>
                    </a:prstGeom>
                    <a:noFill/>
                    <a:ln w="9525">
                      <a:noFill/>
                      <a:miter lim="800000"/>
                      <a:headEnd/>
                      <a:tailEnd/>
                    </a:ln>
                  </pic:spPr>
                </pic:pic>
              </a:graphicData>
            </a:graphic>
          </wp:anchor>
        </w:drawing>
      </w:r>
      <w:r w:rsidR="00D62C47">
        <w:rPr>
          <w:rFonts w:hint="eastAsia"/>
          <w:lang w:eastAsia="ko-KR"/>
        </w:rPr>
        <w:t xml:space="preserve">One may consider more </w:t>
      </w:r>
      <w:r w:rsidR="001B6B08">
        <w:rPr>
          <w:rFonts w:hint="eastAsia"/>
          <w:lang w:eastAsia="ko-KR"/>
        </w:rPr>
        <w:t>simple</w:t>
      </w:r>
      <w:r w:rsidR="00D62C47">
        <w:rPr>
          <w:rFonts w:hint="eastAsia"/>
          <w:lang w:eastAsia="ko-KR"/>
        </w:rPr>
        <w:t xml:space="preserve"> approach: i</w:t>
      </w:r>
      <w:r w:rsidR="000E2FF0">
        <w:rPr>
          <w:rFonts w:hint="eastAsia"/>
          <w:lang w:eastAsia="ko-KR"/>
        </w:rPr>
        <w:t xml:space="preserve">nstead of </w:t>
      </w:r>
      <w:r w:rsidR="00D62C47">
        <w:rPr>
          <w:rFonts w:hint="eastAsia"/>
          <w:lang w:eastAsia="ko-KR"/>
        </w:rPr>
        <w:t>ma</w:t>
      </w:r>
      <w:r w:rsidR="00D62C47">
        <w:rPr>
          <w:rFonts w:hint="eastAsia"/>
          <w:lang w:eastAsia="ko-KR"/>
        </w:rPr>
        <w:t>k</w:t>
      </w:r>
      <w:r w:rsidR="00D62C47">
        <w:rPr>
          <w:rFonts w:hint="eastAsia"/>
          <w:lang w:eastAsia="ko-KR"/>
        </w:rPr>
        <w:t xml:space="preserve">ing </w:t>
      </w:r>
      <w:r w:rsidR="000E2FF0">
        <w:rPr>
          <w:lang w:eastAsia="ko-KR"/>
        </w:rPr>
        <w:t>multiple</w:t>
      </w:r>
      <w:r w:rsidR="000E2FF0">
        <w:rPr>
          <w:rFonts w:hint="eastAsia"/>
          <w:lang w:eastAsia="ko-KR"/>
        </w:rPr>
        <w:t xml:space="preserve"> Grid tasks </w:t>
      </w:r>
      <w:r w:rsidR="00D62C47">
        <w:rPr>
          <w:rFonts w:hint="eastAsia"/>
          <w:lang w:eastAsia="ko-KR"/>
        </w:rPr>
        <w:t xml:space="preserve">be performed </w:t>
      </w:r>
      <w:r w:rsidR="000E2FF0">
        <w:rPr>
          <w:rFonts w:hint="eastAsia"/>
          <w:lang w:eastAsia="ko-KR"/>
        </w:rPr>
        <w:t xml:space="preserve">in one portlet, </w:t>
      </w:r>
      <w:r w:rsidR="00D62C47">
        <w:rPr>
          <w:rFonts w:hint="eastAsia"/>
          <w:lang w:eastAsia="ko-KR"/>
        </w:rPr>
        <w:t xml:space="preserve">we can </w:t>
      </w:r>
      <w:r w:rsidR="007F2C37">
        <w:rPr>
          <w:rFonts w:hint="eastAsia"/>
          <w:lang w:eastAsia="ko-KR"/>
        </w:rPr>
        <w:t xml:space="preserve">separate </w:t>
      </w:r>
      <w:r w:rsidR="000E2FF0">
        <w:rPr>
          <w:rFonts w:hint="eastAsia"/>
          <w:lang w:eastAsia="ko-KR"/>
        </w:rPr>
        <w:t xml:space="preserve">them </w:t>
      </w:r>
      <w:r w:rsidR="007F2C37">
        <w:rPr>
          <w:rFonts w:hint="eastAsia"/>
          <w:lang w:eastAsia="ko-KR"/>
        </w:rPr>
        <w:t xml:space="preserve">into a few independent </w:t>
      </w:r>
      <w:r w:rsidR="005B61CC">
        <w:rPr>
          <w:rFonts w:hint="eastAsia"/>
          <w:lang w:eastAsia="ko-KR"/>
        </w:rPr>
        <w:t>portlets</w:t>
      </w:r>
      <w:r w:rsidR="009E2179">
        <w:rPr>
          <w:rFonts w:hint="eastAsia"/>
          <w:lang w:eastAsia="ko-KR"/>
        </w:rPr>
        <w:t xml:space="preserve"> </w:t>
      </w:r>
      <w:r w:rsidR="007F2C37">
        <w:rPr>
          <w:rFonts w:hint="eastAsia"/>
          <w:lang w:eastAsia="ko-KR"/>
        </w:rPr>
        <w:t xml:space="preserve">and each portlet will do one Grid task. </w:t>
      </w:r>
      <w:r w:rsidR="00D62C47">
        <w:rPr>
          <w:rFonts w:hint="eastAsia"/>
          <w:lang w:eastAsia="ko-KR"/>
        </w:rPr>
        <w:t xml:space="preserve">Since such a unit portlet has already been made </w:t>
      </w:r>
      <w:r w:rsidR="007F2C37">
        <w:rPr>
          <w:rFonts w:hint="eastAsia"/>
          <w:lang w:eastAsia="ko-KR"/>
        </w:rPr>
        <w:t xml:space="preserve">by OGCE </w:t>
      </w:r>
      <w:r w:rsidR="00A90F13">
        <w:fldChar w:fldCharType="begin"/>
      </w:r>
      <w:r w:rsidR="007F2C37">
        <w:instrText xml:space="preserve"> ADDIN EN.CITE &lt;EndNote&gt;&lt;Cite ExcludeYear="1"&gt;&lt;Author&gt;Jay Alameda&lt;/Author&gt;&lt;Year&gt;2007&lt;/Year&gt;&lt;RecNum&gt;1&lt;/RecNum&gt;&lt;record&gt;&lt;rec-number&gt;1&lt;/rec-number&gt;&lt;foreign-keys&gt;&lt;key app="EN" db-id="t9x9efffjass9fetf02pz5zvpvswfxaa5t5d"&gt;1&lt;/key&gt;&lt;/foreign-keys&gt;&lt;ref-type name="Journal Article"&gt;17&lt;/ref-type&gt;&lt;contributors&gt;&lt;authors&gt;&lt;author&gt;Jay Alameda, Marcus Christie Geoffrey Fox Joe Futrelle Dennis Gannon Mihael Hategan Gopi Kandaswamy Gregor von Laszewski Mehmet A. Nacar Marlon Pierce Eric Roberts Charles Severance Mary Thomas&lt;/author&gt;&lt;/authors&gt;&lt;/contributors&gt;&lt;auth-address&gt;National Center for Supercomputing Applications, University of Illinois at Urbana-Champaign, Urbana, IL 61301, U.S.A.; Department of Computer Science, Indiana University, Bloomington, IN 47404, U.S.A.; Community Grids Laboratory, Indiana University, Bloomington, IN 47404, U.S.A.; Computation Institute, University of Chicago, Chicago, IL 60637, U.S.A.; Mathematics and Computer Science Division, Argonne National Laboratory, Argonne, IL 60439, U.S.A.; Texas Advanced Computing Center, University of Texas, Austin, TX 78758-4497, U.S.A.; School of Information, University of Michigan, Ann Arbor, MI 48109-1107, U.S.A.; Department of Computer Science, San Diego State University, San Diego, CA 92182, U.S.A.&lt;/auth-address&gt;&lt;titles&gt;&lt;title&gt;The Open Grid Computing Environments collaboration: portlets and services for science gateways&lt;/title&gt;&lt;secondary-title&gt;Concurrency and Computation: Practice and Experience&lt;/secondary-title&gt;&lt;/titles&gt;&lt;periodical&gt;&lt;full-title&gt;Concurrency and Computation: Practice and Experience&lt;/full-title&gt;&lt;/periodical&gt;&lt;pages&gt;22&lt;/pages&gt;&lt;volume&gt;19&lt;/volume&gt;&lt;number&gt;6&lt;/number&gt;&lt;section&gt;921-942&lt;/section&gt;&lt;dates&gt;&lt;year&gt;2007&lt;/year&gt;&lt;/dates&gt;&lt;isbn&gt;1532-0634&lt;/isbn&gt;&lt;urls&gt;&lt;related-urls&gt;&lt;url&gt;http://dx.doi.org/10.1002/cpe.1078 &lt;/url&gt;&lt;/related-urls&gt;&lt;pdf-urls&gt;&lt;url&gt;internal-pdf://fulltext-2552368396/fulltext.pdf&lt;/url&gt;&lt;/pdf-urls&gt;&lt;/urls&gt;&lt;/record&gt;&lt;/Cite&gt;&lt;/EndNote&gt;</w:instrText>
      </w:r>
      <w:r w:rsidR="00A90F13">
        <w:fldChar w:fldCharType="separate"/>
      </w:r>
      <w:r w:rsidR="007F2C37">
        <w:t>[3]</w:t>
      </w:r>
      <w:r w:rsidR="00A90F13">
        <w:fldChar w:fldCharType="end"/>
      </w:r>
      <w:r w:rsidR="007F2C37">
        <w:rPr>
          <w:rFonts w:hint="eastAsia"/>
          <w:lang w:eastAsia="ko-KR"/>
        </w:rPr>
        <w:t xml:space="preserve"> or </w:t>
      </w:r>
      <w:r w:rsidR="007F2C37" w:rsidRPr="00A65380">
        <w:t xml:space="preserve">GridSphere </w:t>
      </w:r>
      <w:r w:rsidR="00A90F13">
        <w:fldChar w:fldCharType="begin"/>
      </w:r>
      <w:r w:rsidR="007F2C37">
        <w:instrText xml:space="preserve"> ADDIN EN.CITE &lt;EndNote&gt;&lt;Cite&gt;&lt;Author&gt;Michael&lt;/Author&gt;&lt;Year&gt;2006&lt;/Year&gt;&lt;RecNum&gt;66&lt;/RecNum&gt;&lt;record&gt;&lt;rec-number&gt;66&lt;/rec-number&gt;&lt;foreign-keys&gt;&lt;key app="EN" db-id="t9x9efffjass9fetf02pz5zvpvswfxaa5t5d"&gt;66&lt;/key&gt;&lt;/foreign-keys&gt;&lt;ref-type name="Book"&gt;6&lt;/ref-type&gt;&lt;contributors&gt;&lt;authors&gt;&lt;author&gt;Michael, Russell&lt;/author&gt;&lt;author&gt;Jason, Novotny&lt;/author&gt;&lt;author&gt;Oliver, Wehrens&lt;/author&gt;&lt;/authors&gt;&lt;/contributors&gt;&lt;titles&gt;&lt;title&gt;The Grid Portlets Web Application: A Grid Portal Framework&lt;/title&gt;&lt;secondary-title&gt;Parallel Processing and Applied Mathematics&lt;/secondary-title&gt;&lt;/titles&gt;&lt;pages&gt;691-698&lt;/pages&gt;&lt;dates&gt;&lt;year&gt;2006&lt;/year&gt;&lt;/dates&gt;&lt;urls&gt;&lt;related-urls&gt;&lt;url&gt;http://dx.doi.org/10.1007/11752578_83 &lt;/url&gt;&lt;/related-urls&gt;&lt;pdf-urls&gt;&lt;url&gt;internal-pdf://GridSphere&amp;apos;s Grid Portlets.pdf-3754584096/GridSphere&amp;apos;s Grid Portlets.pdf.lnk&lt;/url&gt;&lt;/pdf-urls&gt;&lt;/urls&gt;&lt;/record&gt;&lt;/Cite&gt;&lt;Cite&gt;&lt;Author&gt;Michael&lt;/Author&gt;&lt;Year&gt;2006&lt;/Year&gt;&lt;RecNum&gt;66&lt;/RecNum&gt;&lt;record&gt;&lt;rec-number&gt;66&lt;/rec-number&gt;&lt;foreign-keys&gt;&lt;key app="EN" db-id="t9x9efffjass9fetf02pz5zvpvswfxaa5t5d"&gt;66&lt;/key&gt;&lt;/foreign-keys&gt;&lt;ref-type name="Book"&gt;6&lt;/ref-type&gt;&lt;contributors&gt;&lt;authors&gt;&lt;author&gt;Michael, Russell&lt;/author&gt;&lt;author&gt;Jason, Novotny&lt;/author&gt;&lt;author&gt;Oliver, Wehrens&lt;/author&gt;&lt;/authors&gt;&lt;/contributors&gt;&lt;titles&gt;&lt;title&gt;The Grid Portlets Web Application: A Grid Portal Framework&lt;/title&gt;&lt;secondary-title&gt;Parallel Processing and Applied Mathematics&lt;/secondary-title&gt;&lt;/titles&gt;&lt;pages&gt;691-698&lt;/pages&gt;&lt;dates&gt;&lt;year&gt;2006&lt;/year&gt;&lt;/dates&gt;&lt;urls&gt;&lt;related-urls&gt;&lt;url&gt;http://dx.doi.org/10.1007/11752578_83 &lt;/url&gt;&lt;/related-urls&gt;&lt;pdf-urls&gt;&lt;url&gt;internal-pdf://GridSphere&amp;apos;s Grid Portlets.pdf-3754584096/GridSphere&amp;apos;s Grid Portlets.pdf.lnk&lt;/url&gt;&lt;/pdf-urls&gt;&lt;/urls&gt;&lt;/record&gt;&lt;/Cite&gt;&lt;/EndNote&gt;</w:instrText>
      </w:r>
      <w:r w:rsidR="00A90F13">
        <w:fldChar w:fldCharType="separate"/>
      </w:r>
      <w:r w:rsidR="007F2C37">
        <w:t>[6]</w:t>
      </w:r>
      <w:r w:rsidR="00A90F13">
        <w:fldChar w:fldCharType="end"/>
      </w:r>
      <w:r w:rsidR="005B0537">
        <w:t xml:space="preserve"> team</w:t>
      </w:r>
      <w:r w:rsidR="00D62C47">
        <w:rPr>
          <w:rFonts w:hint="eastAsia"/>
          <w:lang w:eastAsia="ko-KR"/>
        </w:rPr>
        <w:t xml:space="preserve">, we can simply use </w:t>
      </w:r>
      <w:r w:rsidR="00ED2E44">
        <w:rPr>
          <w:rFonts w:hint="eastAsia"/>
          <w:lang w:eastAsia="ko-KR"/>
        </w:rPr>
        <w:t xml:space="preserve">off-the-shelf ones </w:t>
      </w:r>
      <w:r w:rsidR="00D62C47">
        <w:rPr>
          <w:lang w:eastAsia="ko-KR"/>
        </w:rPr>
        <w:t>without</w:t>
      </w:r>
      <w:r w:rsidR="00D62C47">
        <w:rPr>
          <w:rFonts w:hint="eastAsia"/>
          <w:lang w:eastAsia="ko-KR"/>
        </w:rPr>
        <w:t xml:space="preserve"> developing. However, a user </w:t>
      </w:r>
      <w:r w:rsidR="001B6B08">
        <w:rPr>
          <w:rFonts w:hint="eastAsia"/>
          <w:lang w:eastAsia="ko-KR"/>
        </w:rPr>
        <w:t>should</w:t>
      </w:r>
      <w:r w:rsidR="00D62C47">
        <w:rPr>
          <w:rFonts w:hint="eastAsia"/>
          <w:lang w:eastAsia="ko-KR"/>
        </w:rPr>
        <w:t xml:space="preserve"> </w:t>
      </w:r>
      <w:r w:rsidR="00ED2E44">
        <w:rPr>
          <w:rFonts w:hint="eastAsia"/>
          <w:lang w:eastAsia="ko-KR"/>
        </w:rPr>
        <w:t xml:space="preserve">move around </w:t>
      </w:r>
      <w:r w:rsidR="00D62C47">
        <w:rPr>
          <w:rFonts w:hint="eastAsia"/>
          <w:lang w:eastAsia="ko-KR"/>
        </w:rPr>
        <w:t>multiple portlet</w:t>
      </w:r>
      <w:r w:rsidR="001B6B08">
        <w:rPr>
          <w:rFonts w:hint="eastAsia"/>
          <w:lang w:eastAsia="ko-KR"/>
        </w:rPr>
        <w:t>s</w:t>
      </w:r>
      <w:r w:rsidR="00ED2E44">
        <w:rPr>
          <w:rFonts w:hint="eastAsia"/>
          <w:lang w:eastAsia="ko-KR"/>
        </w:rPr>
        <w:t xml:space="preserve"> </w:t>
      </w:r>
      <w:r w:rsidR="00D62C47">
        <w:rPr>
          <w:rFonts w:hint="eastAsia"/>
          <w:lang w:eastAsia="ko-KR"/>
        </w:rPr>
        <w:t>to finish</w:t>
      </w:r>
      <w:r w:rsidR="001B6B08">
        <w:rPr>
          <w:rFonts w:hint="eastAsia"/>
          <w:lang w:eastAsia="ko-KR"/>
        </w:rPr>
        <w:t xml:space="preserve"> a MEME job, which is not a convenient way. Thus, for better user interface, to make </w:t>
      </w:r>
      <w:r w:rsidR="00E207F8">
        <w:rPr>
          <w:rFonts w:hint="eastAsia"/>
          <w:lang w:eastAsia="ko-KR"/>
        </w:rPr>
        <w:t xml:space="preserve">one </w:t>
      </w:r>
      <w:r w:rsidR="001B6B08">
        <w:rPr>
          <w:rFonts w:hint="eastAsia"/>
          <w:lang w:eastAsia="ko-KR"/>
        </w:rPr>
        <w:t>por</w:t>
      </w:r>
      <w:r w:rsidR="00FF1BE8">
        <w:rPr>
          <w:lang w:eastAsia="ko-KR"/>
        </w:rPr>
        <w:t>t</w:t>
      </w:r>
      <w:r w:rsidR="001B6B08">
        <w:rPr>
          <w:rFonts w:hint="eastAsia"/>
          <w:lang w:eastAsia="ko-KR"/>
        </w:rPr>
        <w:t xml:space="preserve">let integrated </w:t>
      </w:r>
      <w:r w:rsidR="00E207F8">
        <w:rPr>
          <w:rFonts w:hint="eastAsia"/>
          <w:lang w:eastAsia="ko-KR"/>
        </w:rPr>
        <w:t xml:space="preserve">with </w:t>
      </w:r>
      <w:r w:rsidR="001B6B08">
        <w:rPr>
          <w:rFonts w:hint="eastAsia"/>
          <w:lang w:eastAsia="ko-KR"/>
        </w:rPr>
        <w:t>multiple tasks is more important.</w:t>
      </w:r>
      <w:r w:rsidR="00B96700">
        <w:rPr>
          <w:rFonts w:hint="eastAsia"/>
          <w:lang w:eastAsia="ko-KR"/>
        </w:rPr>
        <w:t xml:space="preserve"> We will show in the next section how </w:t>
      </w:r>
      <w:r w:rsidR="00B96700" w:rsidRPr="00A65380">
        <w:t>GTLAB</w:t>
      </w:r>
      <w:r w:rsidR="00B96700">
        <w:rPr>
          <w:rFonts w:hint="eastAsia"/>
          <w:lang w:eastAsia="ko-KR"/>
        </w:rPr>
        <w:t xml:space="preserve"> can be used to expedite </w:t>
      </w:r>
      <w:r w:rsidR="00FF144B">
        <w:rPr>
          <w:rFonts w:hint="eastAsia"/>
          <w:lang w:eastAsia="ko-KR"/>
        </w:rPr>
        <w:t>this process.</w:t>
      </w:r>
      <w:r w:rsidR="005B0537">
        <w:rPr>
          <w:lang w:eastAsia="ko-KR"/>
        </w:rPr>
        <w:t xml:space="preserve"> </w:t>
      </w:r>
      <w:r w:rsidR="007C3765">
        <w:rPr>
          <w:rFonts w:hint="eastAsia"/>
          <w:lang w:eastAsia="ko-KR"/>
        </w:rPr>
        <w:t>For now, w</w:t>
      </w:r>
      <w:r w:rsidR="00FF144B">
        <w:rPr>
          <w:rFonts w:hint="eastAsia"/>
          <w:lang w:eastAsia="ko-KR"/>
        </w:rPr>
        <w:t>ithout using GTLAB w</w:t>
      </w:r>
      <w:r w:rsidR="00FF144B" w:rsidRPr="00B65163">
        <w:t xml:space="preserve">e </w:t>
      </w:r>
      <w:r w:rsidR="002234E1" w:rsidRPr="00B65163">
        <w:t xml:space="preserve">will explain how MEME portlet execute </w:t>
      </w:r>
      <w:r w:rsidR="002234E1">
        <w:t xml:space="preserve">these Grid </w:t>
      </w:r>
      <w:r w:rsidR="002234E1" w:rsidRPr="00B65163">
        <w:t>tasks</w:t>
      </w:r>
      <w:r w:rsidR="002234E1">
        <w:t xml:space="preserve"> with a typical use case. First, the </w:t>
      </w:r>
      <w:r w:rsidR="002234E1" w:rsidRPr="00B65163">
        <w:t xml:space="preserve">user needs to transfer </w:t>
      </w:r>
      <w:r w:rsidR="002234E1">
        <w:rPr>
          <w:rFonts w:hint="eastAsia"/>
          <w:lang w:eastAsia="ko-KR"/>
        </w:rPr>
        <w:t>a gene sequence file</w:t>
      </w:r>
      <w:r w:rsidR="002234E1">
        <w:rPr>
          <w:lang w:eastAsia="ko-KR"/>
        </w:rPr>
        <w:t xml:space="preserve"> from his or her desktop machine</w:t>
      </w:r>
      <w:r w:rsidR="002234E1">
        <w:rPr>
          <w:rFonts w:hint="eastAsia"/>
          <w:lang w:eastAsia="ko-KR"/>
        </w:rPr>
        <w:t xml:space="preserve"> </w:t>
      </w:r>
      <w:r w:rsidR="002234E1" w:rsidRPr="00B65163">
        <w:t xml:space="preserve">to </w:t>
      </w:r>
      <w:r w:rsidR="002234E1">
        <w:t xml:space="preserve">the desired resource (i.e., </w:t>
      </w:r>
      <w:r w:rsidR="002234E1" w:rsidRPr="00B65163">
        <w:t>Big Red</w:t>
      </w:r>
      <w:r w:rsidR="002234E1">
        <w:t>)</w:t>
      </w:r>
      <w:r w:rsidR="002234E1" w:rsidRPr="00B65163">
        <w:t>. Since a web portal service (</w:t>
      </w:r>
      <w:r w:rsidR="002234E1">
        <w:t xml:space="preserve">i.e., </w:t>
      </w:r>
      <w:r w:rsidR="002234E1" w:rsidRPr="00B65163">
        <w:t xml:space="preserve">OGCE) is running between a user and a remote server, MEME portlet </w:t>
      </w:r>
      <w:r w:rsidR="002234E1">
        <w:rPr>
          <w:rFonts w:hint="eastAsia"/>
          <w:lang w:eastAsia="ko-KR"/>
        </w:rPr>
        <w:t xml:space="preserve">should </w:t>
      </w:r>
      <w:r w:rsidR="002234E1" w:rsidRPr="00B65163">
        <w:t xml:space="preserve">transfer the file from the user’s local system to the remote server, where MEME application will be executed, via </w:t>
      </w:r>
      <w:r w:rsidR="002234E1">
        <w:rPr>
          <w:rFonts w:hint="eastAsia"/>
          <w:lang w:eastAsia="ko-KR"/>
        </w:rPr>
        <w:t xml:space="preserve">the </w:t>
      </w:r>
      <w:r w:rsidR="002234E1" w:rsidRPr="00B65163">
        <w:t>server where a web portal service is in operation. For this end, the MEME portlet executes two consecutive file transfers</w:t>
      </w:r>
      <w:r w:rsidR="009C0F57">
        <w:rPr>
          <w:rFonts w:hint="eastAsia"/>
          <w:lang w:eastAsia="ko-KR"/>
        </w:rPr>
        <w:t>: one for the uploading a file from the user space to the portal server and the other for sending the file from the portal server to the remote gateway where MEME will be executed.</w:t>
      </w:r>
      <w:r w:rsidR="00361779">
        <w:rPr>
          <w:rFonts w:hint="eastAsia"/>
          <w:lang w:eastAsia="ko-KR"/>
        </w:rPr>
        <w:t xml:space="preserve"> HTML form based file upload</w:t>
      </w:r>
      <w:r w:rsidR="007C3765">
        <w:rPr>
          <w:rFonts w:hint="eastAsia"/>
          <w:lang w:eastAsia="ko-KR"/>
        </w:rPr>
        <w:t>ing</w:t>
      </w:r>
      <w:r w:rsidR="00361779">
        <w:rPr>
          <w:rFonts w:hint="eastAsia"/>
          <w:lang w:eastAsia="ko-KR"/>
        </w:rPr>
        <w:t xml:space="preserve"> and CoG</w:t>
      </w:r>
      <w:r w:rsidR="00361779">
        <w:rPr>
          <w:lang w:eastAsia="ko-KR"/>
        </w:rPr>
        <w:t>’</w:t>
      </w:r>
      <w:r w:rsidR="00361779">
        <w:rPr>
          <w:rFonts w:hint="eastAsia"/>
          <w:lang w:eastAsia="ko-KR"/>
        </w:rPr>
        <w:t>s GridFTPClient can be used respectively.</w:t>
      </w:r>
      <w:r w:rsidR="002234E1" w:rsidRPr="00B65163">
        <w:t xml:space="preserve"> </w:t>
      </w:r>
    </w:p>
    <w:p w:rsidR="002234E1" w:rsidRPr="00B65163" w:rsidRDefault="002234E1" w:rsidP="002234E1">
      <w:r w:rsidRPr="00B65163">
        <w:t xml:space="preserve">Secondly, the user will fire a job submission by clicking a </w:t>
      </w:r>
      <w:r w:rsidRPr="00B65163">
        <w:lastRenderedPageBreak/>
        <w:t xml:space="preserve">button. Receiving this event, the portlet will submit a job to the remote server’s job scheduler, which will pick </w:t>
      </w:r>
      <w:r w:rsidR="00427744">
        <w:t xml:space="preserve">the </w:t>
      </w:r>
      <w:r w:rsidRPr="00B65163">
        <w:t>MEME application to run.  To submit a job, we use two Java CoG classes: GramJob for managing job submission and GassServer for receiving outputs from the remote ser</w:t>
      </w:r>
      <w:r w:rsidRPr="00B65163">
        <w:t>v</w:t>
      </w:r>
      <w:r w:rsidRPr="00B65163">
        <w:t xml:space="preserve">er. If a user </w:t>
      </w:r>
      <w:r>
        <w:rPr>
          <w:rFonts w:hint="eastAsia"/>
          <w:lang w:eastAsia="ko-KR"/>
        </w:rPr>
        <w:t>wants</w:t>
      </w:r>
      <w:r w:rsidRPr="00B65163">
        <w:t xml:space="preserve"> to see outputs on a screen instead of sa</w:t>
      </w:r>
      <w:r w:rsidRPr="00B65163">
        <w:t>v</w:t>
      </w:r>
      <w:r w:rsidRPr="00B65163">
        <w:t xml:space="preserve">ing as a file, </w:t>
      </w:r>
      <w:r w:rsidR="00427744">
        <w:t xml:space="preserve">the </w:t>
      </w:r>
      <w:r w:rsidRPr="00B65163">
        <w:t xml:space="preserve">MEME portlet will run a GASS server, which is </w:t>
      </w:r>
      <w:r>
        <w:rPr>
          <w:rFonts w:hint="eastAsia"/>
          <w:lang w:eastAsia="ko-KR"/>
        </w:rPr>
        <w:t xml:space="preserve">designed </w:t>
      </w:r>
      <w:r w:rsidRPr="00B65163">
        <w:t>to receive outputs from a remote server in an on-line manner, so that the user can see outputs d</w:t>
      </w:r>
      <w:r w:rsidRPr="00B65163">
        <w:t>i</w:t>
      </w:r>
      <w:r w:rsidRPr="00B65163">
        <w:t xml:space="preserve">rectly through </w:t>
      </w:r>
      <w:r w:rsidR="0000503C">
        <w:t>the</w:t>
      </w:r>
      <w:r w:rsidR="0000503C" w:rsidRPr="00B65163">
        <w:t xml:space="preserve"> </w:t>
      </w:r>
      <w:r w:rsidRPr="00B65163">
        <w:t>portlet. Regarding the submit options, a user can choose to submit a job in two modes: interactive mode and</w:t>
      </w:r>
      <w:r>
        <w:t xml:space="preserve"> </w:t>
      </w:r>
      <w:r w:rsidRPr="00B65163">
        <w:t>batch mode. While</w:t>
      </w:r>
      <w:r>
        <w:t xml:space="preserve"> the user </w:t>
      </w:r>
      <w:r w:rsidRPr="00B65163">
        <w:t>should wait to r</w:t>
      </w:r>
      <w:r w:rsidRPr="00B65163">
        <w:t>e</w:t>
      </w:r>
      <w:r w:rsidRPr="00B65163">
        <w:t>ceive results in interactive mode, in batch mode a user can check the result later instead of waiting for immediate ou</w:t>
      </w:r>
      <w:r w:rsidRPr="00B65163">
        <w:t>t</w:t>
      </w:r>
      <w:r w:rsidRPr="00B65163">
        <w:t xml:space="preserve">put. To enable a user to access the result later in batch job submission, the portlet saves a job handle string returned by GramJob </w:t>
      </w:r>
      <w:r w:rsidR="007A49A8">
        <w:rPr>
          <w:rFonts w:hint="eastAsia"/>
          <w:lang w:eastAsia="ko-KR"/>
        </w:rPr>
        <w:t xml:space="preserve">class </w:t>
      </w:r>
      <w:r w:rsidRPr="00B65163">
        <w:t>after job submission into a persistent st</w:t>
      </w:r>
      <w:r w:rsidRPr="00B65163">
        <w:t>o</w:t>
      </w:r>
      <w:r w:rsidRPr="00B65163">
        <w:t xml:space="preserve">rage so that a user can retrieve </w:t>
      </w:r>
      <w:r w:rsidR="007A49A8">
        <w:rPr>
          <w:rFonts w:hint="eastAsia"/>
          <w:lang w:eastAsia="ko-KR"/>
        </w:rPr>
        <w:t xml:space="preserve">job results </w:t>
      </w:r>
      <w:r w:rsidRPr="00B65163">
        <w:t xml:space="preserve">anytime even after logging out. </w:t>
      </w:r>
    </w:p>
    <w:p w:rsidR="0000503C" w:rsidRDefault="002234E1" w:rsidP="002234E1">
      <w:r w:rsidRPr="00B65163">
        <w:t>Thirdly, after submitting a job in a batch mode, the user can check from the MEME portlet whether the job is f</w:t>
      </w:r>
      <w:r w:rsidRPr="00B65163">
        <w:t>i</w:t>
      </w:r>
      <w:r w:rsidRPr="00B65163">
        <w:t>nished or not. By retrieving the job handles saved in the previous step, the portlet will check the status of the job by</w:t>
      </w:r>
      <w:r w:rsidR="00FF1BE8">
        <w:t xml:space="preserve"> </w:t>
      </w:r>
      <w:r w:rsidR="007A49A8">
        <w:rPr>
          <w:rFonts w:hint="eastAsia"/>
          <w:lang w:eastAsia="ko-KR"/>
        </w:rPr>
        <w:t>using CoG</w:t>
      </w:r>
      <w:r w:rsidR="007A49A8">
        <w:rPr>
          <w:lang w:eastAsia="ko-KR"/>
        </w:rPr>
        <w:t>’</w:t>
      </w:r>
      <w:r w:rsidR="007A49A8">
        <w:rPr>
          <w:rFonts w:hint="eastAsia"/>
          <w:lang w:eastAsia="ko-KR"/>
        </w:rPr>
        <w:t>s Gram class.</w:t>
      </w:r>
      <w:r w:rsidRPr="00B65163">
        <w:t xml:space="preserve"> </w:t>
      </w:r>
    </w:p>
    <w:p w:rsidR="00B26B15" w:rsidRDefault="002234E1">
      <w:r w:rsidRPr="00B65163">
        <w:t xml:space="preserve">Finally, </w:t>
      </w:r>
      <w:r>
        <w:t>when</w:t>
      </w:r>
      <w:r w:rsidRPr="00B65163">
        <w:t xml:space="preserve"> the batch job is completed, the user can download outputs from MEME. If the output is saved as a file in remote server’s file system, we download the file by </w:t>
      </w:r>
      <w:r w:rsidR="0000503C">
        <w:t xml:space="preserve">the </w:t>
      </w:r>
      <w:r w:rsidRPr="00B65163">
        <w:t xml:space="preserve">GridFTP protocol, using </w:t>
      </w:r>
      <w:r w:rsidR="0000503C">
        <w:t xml:space="preserve">the </w:t>
      </w:r>
      <w:r w:rsidRPr="00B65163">
        <w:t>GridFTPClient class. Ot</w:t>
      </w:r>
      <w:r w:rsidRPr="00B65163">
        <w:t>h</w:t>
      </w:r>
      <w:r w:rsidRPr="00B65163">
        <w:t>erwise, we execute a remote command to retrieve the ou</w:t>
      </w:r>
      <w:r w:rsidRPr="00B65163">
        <w:t>t</w:t>
      </w:r>
      <w:r w:rsidRPr="00B65163">
        <w:t>put by using the job handle. For this end, our MEME por</w:t>
      </w:r>
      <w:r w:rsidRPr="00B65163">
        <w:t>t</w:t>
      </w:r>
      <w:r w:rsidRPr="00B65163">
        <w:t>let will submit an interactive GRAM job to query output by giving the job handle as an input.</w:t>
      </w:r>
    </w:p>
    <w:p w:rsidR="002234E1" w:rsidRPr="00892898" w:rsidRDefault="00FE3B71" w:rsidP="002234E1">
      <w:pPr>
        <w:pStyle w:val="Heading2"/>
        <w:rPr>
          <w:rFonts w:ascii="Times New Roman" w:hAnsi="Times New Roman" w:cs="Verdana"/>
          <w:sz w:val="24"/>
          <w:szCs w:val="28"/>
          <w:lang w:eastAsia="ko-KR"/>
        </w:rPr>
      </w:pPr>
      <w:r>
        <w:rPr>
          <w:noProof/>
          <w:lang w:eastAsia="zh-TW"/>
        </w:rPr>
        <w:pict>
          <v:shapetype id="_x0000_t202" coordsize="21600,21600" o:spt="202" path="m,l,21600r21600,l21600,xe">
            <v:stroke joinstyle="miter"/>
            <v:path gradientshapeok="t" o:connecttype="rect"/>
          </v:shapetype>
          <v:shape id="_x0000_s1135" type="#_x0000_t202" style="position:absolute;left:0;text-align:left;margin-left:-256.6pt;margin-top:69.7pt;width:243pt;height:31.95pt;z-index:251655168;mso-width-relative:margin;mso-height-relative:margin" stroked="f">
            <v:textbox style="mso-next-textbox:#_x0000_s1135" inset="0,0,0,0">
              <w:txbxContent>
                <w:p w:rsidR="00B25DBB" w:rsidRPr="00787606" w:rsidRDefault="00B25DBB" w:rsidP="002234E1">
                  <w:pPr>
                    <w:pStyle w:val="Caption"/>
                    <w:rPr>
                      <w:sz w:val="16"/>
                      <w:szCs w:val="16"/>
                      <w:lang w:eastAsia="ko-KR"/>
                    </w:rPr>
                  </w:pPr>
                  <w:r w:rsidRPr="00787606">
                    <w:rPr>
                      <w:b/>
                      <w:sz w:val="16"/>
                      <w:szCs w:val="16"/>
                    </w:rPr>
                    <w:t>Figure 1</w:t>
                  </w:r>
                  <w:r w:rsidRPr="00787606">
                    <w:rPr>
                      <w:rFonts w:hint="eastAsia"/>
                      <w:sz w:val="16"/>
                      <w:szCs w:val="16"/>
                      <w:lang w:eastAsia="ko-KR"/>
                    </w:rPr>
                    <w:t xml:space="preserve"> </w:t>
                  </w:r>
                  <w:r w:rsidRPr="00787606">
                    <w:rPr>
                      <w:sz w:val="16"/>
                      <w:szCs w:val="16"/>
                      <w:lang w:eastAsia="ko-KR"/>
                    </w:rPr>
                    <w:t xml:space="preserve">The </w:t>
                  </w:r>
                  <w:r w:rsidRPr="00787606">
                    <w:rPr>
                      <w:rFonts w:hint="eastAsia"/>
                      <w:sz w:val="16"/>
                      <w:szCs w:val="16"/>
                      <w:lang w:eastAsia="ko-KR"/>
                    </w:rPr>
                    <w:t>MEME portlet</w:t>
                  </w:r>
                  <w:r w:rsidRPr="00787606">
                    <w:rPr>
                      <w:sz w:val="16"/>
                      <w:szCs w:val="16"/>
                      <w:lang w:eastAsia="ko-KR"/>
                    </w:rPr>
                    <w:t xml:space="preserve"> uses OGCE portal libraries to upload and download files, submit jobs, and monitor their progress.</w:t>
                  </w:r>
                </w:p>
                <w:p w:rsidR="00A90F13" w:rsidRDefault="00A90F13" w:rsidP="00A90F13">
                  <w:pPr>
                    <w:rPr>
                      <w:lang w:eastAsia="ko-KR"/>
                    </w:rPr>
                  </w:pPr>
                </w:p>
                <w:p w:rsidR="00A90F13" w:rsidRDefault="00A90F13" w:rsidP="00A90F13">
                  <w:pPr>
                    <w:rPr>
                      <w:lang w:eastAsia="ko-KR"/>
                    </w:rPr>
                  </w:pPr>
                </w:p>
              </w:txbxContent>
            </v:textbox>
            <w10:wrap type="square"/>
          </v:shape>
        </w:pict>
      </w:r>
      <w:r w:rsidR="002234E1">
        <w:rPr>
          <w:bCs/>
          <w:color w:val="000000"/>
        </w:rPr>
        <w:t>2.2</w:t>
      </w:r>
      <w:r w:rsidR="002234E1" w:rsidRPr="00711741">
        <w:rPr>
          <w:bCs/>
          <w:color w:val="000000"/>
        </w:rPr>
        <w:t xml:space="preserve"> </w:t>
      </w:r>
      <w:r w:rsidR="002234E1">
        <w:t xml:space="preserve">Job Tracking with a </w:t>
      </w:r>
      <w:r w:rsidR="002234E1">
        <w:rPr>
          <w:rFonts w:hint="eastAsia"/>
          <w:lang w:eastAsia="ko-KR"/>
        </w:rPr>
        <w:t xml:space="preserve">Dashboard </w:t>
      </w:r>
      <w:r w:rsidR="002234E1">
        <w:rPr>
          <w:lang w:eastAsia="ko-KR"/>
        </w:rPr>
        <w:t>P</w:t>
      </w:r>
      <w:r w:rsidR="002234E1">
        <w:rPr>
          <w:rFonts w:hint="eastAsia"/>
          <w:lang w:eastAsia="ko-KR"/>
        </w:rPr>
        <w:t>ortlet</w:t>
      </w:r>
    </w:p>
    <w:p w:rsidR="002234E1" w:rsidRDefault="002234E1" w:rsidP="008574CF">
      <w:r w:rsidRPr="00B65163">
        <w:t xml:space="preserve">The Dashboard portlet </w:t>
      </w:r>
      <w:r>
        <w:rPr>
          <w:rFonts w:hint="eastAsia"/>
          <w:lang w:eastAsia="ko-KR"/>
        </w:rPr>
        <w:t xml:space="preserve">(Figure 2) </w:t>
      </w:r>
      <w:r w:rsidRPr="00B65163">
        <w:t>is designed to provide information about job status by using Big Red’s job mana</w:t>
      </w:r>
      <w:r w:rsidRPr="00B65163">
        <w:t>g</w:t>
      </w:r>
      <w:r w:rsidRPr="00B65163">
        <w:t xml:space="preserve">er. As a default job manager, Big Red is using </w:t>
      </w:r>
      <w:r w:rsidR="0000503C">
        <w:t xml:space="preserve">the </w:t>
      </w:r>
      <w:r>
        <w:t>MOAB</w:t>
      </w:r>
      <w:r>
        <w:rPr>
          <w:rFonts w:hint="eastAsia"/>
          <w:lang w:eastAsia="ko-KR"/>
        </w:rPr>
        <w:t xml:space="preserve"> </w:t>
      </w:r>
      <w:r w:rsidRPr="00B65163">
        <w:t>job scheduler. Thus, a submitted job to Big Red can be m</w:t>
      </w:r>
      <w:r w:rsidRPr="00B65163">
        <w:t>o</w:t>
      </w:r>
      <w:r w:rsidRPr="00B65163">
        <w:t xml:space="preserve">nitored by querying </w:t>
      </w:r>
      <w:r>
        <w:t>MOAB’s</w:t>
      </w:r>
      <w:r w:rsidRPr="00B65163">
        <w:t xml:space="preserve"> job queue status</w:t>
      </w:r>
      <w:r w:rsidR="0000503C">
        <w:t>,</w:t>
      </w:r>
      <w:r w:rsidRPr="00B65163">
        <w:t xml:space="preserve"> and this can be done by using a command line tool, called </w:t>
      </w:r>
      <w:r w:rsidR="00E43EEA" w:rsidRPr="00E43EEA">
        <w:rPr>
          <w:i/>
        </w:rPr>
        <w:t>showq</w:t>
      </w:r>
      <w:r w:rsidRPr="00B65163">
        <w:t>, pr</w:t>
      </w:r>
      <w:r w:rsidRPr="00B65163">
        <w:t>o</w:t>
      </w:r>
      <w:r w:rsidRPr="00B65163">
        <w:t xml:space="preserve">vided by </w:t>
      </w:r>
      <w:r>
        <w:t>MOAB</w:t>
      </w:r>
      <w:r w:rsidRPr="00B65163">
        <w:t>.  By executing</w:t>
      </w:r>
      <w:r w:rsidR="0000503C">
        <w:t xml:space="preserve"> the</w:t>
      </w:r>
      <w:r w:rsidRPr="00B65163">
        <w:t xml:space="preserve"> </w:t>
      </w:r>
      <w:r w:rsidR="00E43EEA" w:rsidRPr="00E43EEA">
        <w:rPr>
          <w:i/>
        </w:rPr>
        <w:t>showq</w:t>
      </w:r>
      <w:r w:rsidRPr="00B65163">
        <w:t xml:space="preserve"> command on the behalf of a user in Big Red, our dashboard portlet can di</w:t>
      </w:r>
      <w:r w:rsidRPr="00B65163">
        <w:t>s</w:t>
      </w:r>
      <w:r w:rsidRPr="00B65163">
        <w:t xml:space="preserve">play job queues and status so that a user can easily access the information about the submitted job. </w:t>
      </w:r>
      <w:r>
        <w:t xml:space="preserve">We have adopted this simple approach to work on </w:t>
      </w:r>
      <w:r w:rsidR="008574CF">
        <w:t>TeraGrid resources</w:t>
      </w:r>
      <w:r>
        <w:t>.</w:t>
      </w:r>
    </w:p>
    <w:p w:rsidR="002234E1" w:rsidRPr="00B65163" w:rsidRDefault="0000503C" w:rsidP="002234E1">
      <w:r>
        <w:t xml:space="preserve">In many cases, it is desirable to only show a user his or her specific jobs.  This can be done by remotely executing </w:t>
      </w:r>
      <w:r w:rsidR="00E43EEA" w:rsidRPr="00E43EEA">
        <w:rPr>
          <w:i/>
        </w:rPr>
        <w:t>showq</w:t>
      </w:r>
      <w:r>
        <w:t xml:space="preserve"> with the proper arguments such as the </w:t>
      </w:r>
      <w:r w:rsidR="002234E1" w:rsidRPr="00B65163">
        <w:t>user</w:t>
      </w:r>
      <w:r w:rsidR="002234E1">
        <w:rPr>
          <w:rFonts w:hint="eastAsia"/>
          <w:lang w:eastAsia="ko-KR"/>
        </w:rPr>
        <w:t xml:space="preserve"> </w:t>
      </w:r>
      <w:r w:rsidR="002234E1">
        <w:t>ID</w:t>
      </w:r>
      <w:r w:rsidR="002234E1" w:rsidRPr="00B65163">
        <w:t xml:space="preserve">.  However, </w:t>
      </w:r>
      <w:r w:rsidR="002234E1">
        <w:t xml:space="preserve">TeraGrid does not provide a global UNIX user ID system, so </w:t>
      </w:r>
      <w:r w:rsidR="002234E1" w:rsidRPr="00B65163">
        <w:t xml:space="preserve">a user can have </w:t>
      </w:r>
      <w:r>
        <w:t>different</w:t>
      </w:r>
      <w:r w:rsidRPr="00B65163">
        <w:t xml:space="preserve"> </w:t>
      </w:r>
      <w:r w:rsidR="002234E1" w:rsidRPr="00B65163">
        <w:t xml:space="preserve">user </w:t>
      </w:r>
      <w:r w:rsidR="002234E1">
        <w:t>IDs</w:t>
      </w:r>
      <w:r w:rsidR="002234E1" w:rsidRPr="00B65163">
        <w:t xml:space="preserve"> </w:t>
      </w:r>
      <w:r w:rsidR="002234E1">
        <w:t xml:space="preserve">on different machines, even though the user’s Grid credential provides single sign on. </w:t>
      </w:r>
      <w:r w:rsidR="002234E1" w:rsidRPr="00B65163">
        <w:t>One</w:t>
      </w:r>
      <w:r w:rsidR="002234E1">
        <w:t xml:space="preserve"> simple s</w:t>
      </w:r>
      <w:r w:rsidR="002234E1" w:rsidRPr="00B65163">
        <w:t xml:space="preserve">olution to evade this problem is to execute </w:t>
      </w:r>
      <w:r>
        <w:t xml:space="preserve">the </w:t>
      </w:r>
      <w:r w:rsidR="00E43EEA" w:rsidRPr="00E43EEA">
        <w:rPr>
          <w:i/>
        </w:rPr>
        <w:t>whoami</w:t>
      </w:r>
      <w:r w:rsidR="002234E1" w:rsidRPr="00B65163">
        <w:t xml:space="preserve"> command to obtain the correct user </w:t>
      </w:r>
      <w:r w:rsidR="002234E1">
        <w:t>ID</w:t>
      </w:r>
      <w:r w:rsidR="002234E1" w:rsidRPr="00B65163">
        <w:t xml:space="preserve"> in a gateway before executing </w:t>
      </w:r>
      <w:r w:rsidR="00E43EEA" w:rsidRPr="00E43EEA">
        <w:rPr>
          <w:i/>
        </w:rPr>
        <w:t>showq</w:t>
      </w:r>
      <w:r w:rsidR="002234E1" w:rsidRPr="00B65163">
        <w:t xml:space="preserve"> co</w:t>
      </w:r>
      <w:r w:rsidR="002234E1" w:rsidRPr="00B65163">
        <w:t>m</w:t>
      </w:r>
      <w:r w:rsidR="002234E1" w:rsidRPr="00B65163">
        <w:t xml:space="preserve">mand. This can be </w:t>
      </w:r>
      <w:r>
        <w:t xml:space="preserve">made into a </w:t>
      </w:r>
      <w:r w:rsidR="002234E1" w:rsidRPr="00B65163">
        <w:t xml:space="preserve">one-time </w:t>
      </w:r>
      <w:r>
        <w:t>task</w:t>
      </w:r>
      <w:r w:rsidRPr="00B65163">
        <w:t xml:space="preserve"> </w:t>
      </w:r>
      <w:r w:rsidR="002234E1" w:rsidRPr="00B65163">
        <w:t xml:space="preserve">by saving the user </w:t>
      </w:r>
      <w:r>
        <w:t>ID</w:t>
      </w:r>
      <w:r w:rsidRPr="00B65163">
        <w:t xml:space="preserve"> </w:t>
      </w:r>
      <w:r w:rsidR="002234E1" w:rsidRPr="00B65163">
        <w:t xml:space="preserve">as a portlet’s preference value, instead of executing every time before </w:t>
      </w:r>
      <w:r w:rsidR="00E43EEA" w:rsidRPr="00E43EEA">
        <w:rPr>
          <w:i/>
        </w:rPr>
        <w:t>showq</w:t>
      </w:r>
      <w:r w:rsidR="002234E1" w:rsidRPr="00B65163">
        <w:t xml:space="preserve"> execution. </w:t>
      </w:r>
    </w:p>
    <w:p w:rsidR="002234E1" w:rsidRPr="00711741" w:rsidRDefault="006F406D" w:rsidP="002234E1">
      <w:pPr>
        <w:rPr>
          <w:bCs/>
          <w:color w:val="000000"/>
        </w:rPr>
      </w:pPr>
      <w:r>
        <w:rPr>
          <w:noProof/>
        </w:rPr>
        <w:lastRenderedPageBreak/>
        <w:drawing>
          <wp:anchor distT="0" distB="0" distL="114300" distR="114300" simplePos="0" relativeHeight="251656192" behindDoc="0" locked="0" layoutInCell="1" allowOverlap="1">
            <wp:simplePos x="0" y="0"/>
            <wp:positionH relativeFrom="column">
              <wp:posOffset>14605</wp:posOffset>
            </wp:positionH>
            <wp:positionV relativeFrom="paragraph">
              <wp:posOffset>-85725</wp:posOffset>
            </wp:positionV>
            <wp:extent cx="3195320" cy="1828800"/>
            <wp:effectExtent l="19050" t="0" r="5080" b="0"/>
            <wp:wrapSquare wrapText="bothSides"/>
            <wp:docPr id="120" name="Picture 112" descr="Q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QUEUE"/>
                    <pic:cNvPicPr>
                      <a:picLocks noChangeAspect="1" noChangeArrowheads="1"/>
                    </pic:cNvPicPr>
                  </pic:nvPicPr>
                  <pic:blipFill>
                    <a:blip r:embed="rId15"/>
                    <a:srcRect/>
                    <a:stretch>
                      <a:fillRect/>
                    </a:stretch>
                  </pic:blipFill>
                  <pic:spPr bwMode="auto">
                    <a:xfrm>
                      <a:off x="0" y="0"/>
                      <a:ext cx="3195320" cy="1828800"/>
                    </a:xfrm>
                    <a:prstGeom prst="rect">
                      <a:avLst/>
                    </a:prstGeom>
                    <a:noFill/>
                    <a:ln w="9525">
                      <a:noFill/>
                      <a:miter lim="800000"/>
                      <a:headEnd/>
                      <a:tailEnd/>
                    </a:ln>
                  </pic:spPr>
                </pic:pic>
              </a:graphicData>
            </a:graphic>
          </wp:anchor>
        </w:drawing>
      </w:r>
      <w:r w:rsidR="002234E1" w:rsidRPr="00B65163">
        <w:t xml:space="preserve">To execute </w:t>
      </w:r>
      <w:r w:rsidR="0000503C">
        <w:t xml:space="preserve">the </w:t>
      </w:r>
      <w:r w:rsidR="002234E1" w:rsidRPr="00B65163">
        <w:t xml:space="preserve">remote </w:t>
      </w:r>
      <w:r w:rsidR="00E43EEA" w:rsidRPr="00E43EEA">
        <w:rPr>
          <w:i/>
        </w:rPr>
        <w:t>showq</w:t>
      </w:r>
      <w:r w:rsidR="002234E1" w:rsidRPr="00B65163">
        <w:t xml:space="preserve"> command, our Dashboard portlet follows </w:t>
      </w:r>
      <w:r w:rsidR="0000503C">
        <w:t xml:space="preserve">a </w:t>
      </w:r>
      <w:r w:rsidR="002234E1" w:rsidRPr="00B65163">
        <w:t xml:space="preserve">three step procedure: </w:t>
      </w:r>
      <w:r w:rsidR="00E43EEA" w:rsidRPr="00E43EEA">
        <w:rPr>
          <w:i/>
        </w:rPr>
        <w:t>whoami</w:t>
      </w:r>
      <w:r w:rsidR="002234E1" w:rsidRPr="00B65163">
        <w:t xml:space="preserve"> command execution, </w:t>
      </w:r>
      <w:r w:rsidR="00E43EEA" w:rsidRPr="00E43EEA">
        <w:rPr>
          <w:i/>
        </w:rPr>
        <w:t>showq</w:t>
      </w:r>
      <w:r w:rsidR="002234E1" w:rsidRPr="00B65163">
        <w:t xml:space="preserve"> execution</w:t>
      </w:r>
      <w:r w:rsidR="002234E1">
        <w:t>,</w:t>
      </w:r>
      <w:r w:rsidR="002234E1" w:rsidRPr="00B65163">
        <w:t xml:space="preserve"> and </w:t>
      </w:r>
      <w:r w:rsidR="002234E1">
        <w:t xml:space="preserve">finally </w:t>
      </w:r>
      <w:r w:rsidR="002234E1" w:rsidRPr="00B65163">
        <w:t>output parsing. E</w:t>
      </w:r>
      <w:r w:rsidR="002234E1" w:rsidRPr="00B65163">
        <w:t>x</w:t>
      </w:r>
      <w:r w:rsidR="002234E1" w:rsidRPr="00B65163">
        <w:t>ecuting </w:t>
      </w:r>
      <w:r w:rsidR="00E43EEA" w:rsidRPr="00E43EEA">
        <w:rPr>
          <w:i/>
        </w:rPr>
        <w:t>whoami</w:t>
      </w:r>
      <w:r w:rsidR="002234E1" w:rsidRPr="00B65163">
        <w:t xml:space="preserve"> and </w:t>
      </w:r>
      <w:r w:rsidR="00E43EEA" w:rsidRPr="00E43EEA">
        <w:rPr>
          <w:i/>
        </w:rPr>
        <w:t>showq</w:t>
      </w:r>
      <w:r w:rsidR="002234E1" w:rsidRPr="00B65163">
        <w:t xml:space="preserve"> command can be done the same way </w:t>
      </w:r>
      <w:r w:rsidR="00581D8B">
        <w:t>that we</w:t>
      </w:r>
      <w:r w:rsidR="002234E1" w:rsidRPr="00B65163">
        <w:t xml:space="preserve"> execute MEME command</w:t>
      </w:r>
      <w:r w:rsidR="00581D8B">
        <w:t>s,</w:t>
      </w:r>
      <w:r w:rsidR="002234E1" w:rsidRPr="00B65163">
        <w:t xml:space="preserve"> using GramJob and GassServer Java CoG classes. Since we need </w:t>
      </w:r>
      <w:r w:rsidR="002234E1">
        <w:t>immediate results</w:t>
      </w:r>
      <w:r w:rsidR="002234E1" w:rsidRPr="00B65163">
        <w:t xml:space="preserve">, each execution </w:t>
      </w:r>
      <w:r w:rsidR="002234E1">
        <w:t>is performed</w:t>
      </w:r>
      <w:r w:rsidR="002234E1" w:rsidRPr="00B65163">
        <w:t xml:space="preserve"> in interactive mode. Once obtained</w:t>
      </w:r>
      <w:r w:rsidR="002234E1">
        <w:t xml:space="preserve"> </w:t>
      </w:r>
      <w:r w:rsidR="002234E1" w:rsidRPr="00B65163">
        <w:t>from whoami, the right user</w:t>
      </w:r>
      <w:r w:rsidR="002234E1">
        <w:rPr>
          <w:rFonts w:hint="eastAsia"/>
          <w:lang w:eastAsia="ko-KR"/>
        </w:rPr>
        <w:t xml:space="preserve"> </w:t>
      </w:r>
      <w:r w:rsidR="002234E1">
        <w:t>ID</w:t>
      </w:r>
      <w:r w:rsidR="002234E1" w:rsidRPr="00B65163">
        <w:t xml:space="preserve"> will be given as an input to the </w:t>
      </w:r>
      <w:r w:rsidR="00E43EEA" w:rsidRPr="00E43EEA">
        <w:rPr>
          <w:i/>
        </w:rPr>
        <w:t>showq</w:t>
      </w:r>
      <w:r w:rsidR="002234E1" w:rsidRPr="00B65163">
        <w:t xml:space="preserve"> execution. After executing showq command, the out</w:t>
      </w:r>
      <w:r w:rsidR="002234E1">
        <w:t xml:space="preserve">put is </w:t>
      </w:r>
      <w:r w:rsidR="002234E1" w:rsidRPr="00B65163">
        <w:t>parsed in order to be displayed inside portlet as a</w:t>
      </w:r>
      <w:r w:rsidR="002234E1">
        <w:t>n</w:t>
      </w:r>
      <w:r w:rsidR="002234E1" w:rsidRPr="00B65163">
        <w:t xml:space="preserve"> HTML document. Since the </w:t>
      </w:r>
      <w:r w:rsidR="00E43EEA" w:rsidRPr="00E43EEA">
        <w:rPr>
          <w:i/>
        </w:rPr>
        <w:t>showq</w:t>
      </w:r>
      <w:r w:rsidR="002234E1" w:rsidRPr="00B65163">
        <w:t xml:space="preserve"> command </w:t>
      </w:r>
      <w:r w:rsidR="002234E1">
        <w:t xml:space="preserve">on Big Red </w:t>
      </w:r>
      <w:r w:rsidR="002234E1" w:rsidRPr="00B65163">
        <w:t>has an option to output in XML fo</w:t>
      </w:r>
      <w:r w:rsidR="002234E1" w:rsidRPr="00B65163">
        <w:t>r</w:t>
      </w:r>
      <w:r w:rsidR="002234E1" w:rsidRPr="00B65163">
        <w:t>mat, we use a XML parser, known as XML Pull Parser (XPP)</w:t>
      </w:r>
      <w:r w:rsidR="00971F0F">
        <w:t xml:space="preserve"> </w:t>
      </w:r>
      <w:r w:rsidR="00A90F13">
        <w:fldChar w:fldCharType="begin"/>
      </w:r>
      <w:r w:rsidR="00971F0F">
        <w:instrText xml:space="preserve"> REF _Ref158731248 \r \h </w:instrText>
      </w:r>
      <w:r w:rsidR="00A90F13">
        <w:fldChar w:fldCharType="separate"/>
      </w:r>
      <w:r w:rsidR="00FE3B71">
        <w:t>[11]</w:t>
      </w:r>
      <w:r w:rsidR="00A90F13">
        <w:fldChar w:fldCharType="end"/>
      </w:r>
      <w:r w:rsidR="002234E1" w:rsidRPr="00B65163">
        <w:t xml:space="preserve">, to convert output into a proper HTML object. </w:t>
      </w:r>
    </w:p>
    <w:p w:rsidR="002234E1" w:rsidRPr="00892898" w:rsidRDefault="002234E1" w:rsidP="002234E1">
      <w:pPr>
        <w:pStyle w:val="Heading2"/>
        <w:rPr>
          <w:rFonts w:ascii="Times New Roman" w:hAnsi="Times New Roman" w:cs="Verdana"/>
          <w:sz w:val="24"/>
          <w:szCs w:val="28"/>
          <w:lang w:eastAsia="ko-KR"/>
        </w:rPr>
      </w:pPr>
      <w:r>
        <w:rPr>
          <w:bCs/>
          <w:color w:val="000000"/>
        </w:rPr>
        <w:t>2.3</w:t>
      </w:r>
      <w:r w:rsidRPr="00711741">
        <w:rPr>
          <w:bCs/>
          <w:color w:val="000000"/>
        </w:rPr>
        <w:t xml:space="preserve"> </w:t>
      </w:r>
      <w:r>
        <w:t>Other Portlets</w:t>
      </w:r>
    </w:p>
    <w:p w:rsidR="002234E1" w:rsidRPr="00B65163" w:rsidRDefault="002234E1" w:rsidP="002234E1">
      <w:r>
        <w:t xml:space="preserve">The OGCE release comes with several other portlets (GridFTP, WS-GRAM, Pre-WS GRAM, MyProxy credential management) that we </w:t>
      </w:r>
      <w:r w:rsidR="00581D8B">
        <w:t xml:space="preserve">have </w:t>
      </w:r>
      <w:r>
        <w:t>adopte</w:t>
      </w:r>
      <w:r w:rsidR="00581D8B">
        <w:t>d</w:t>
      </w:r>
      <w:r>
        <w:t xml:space="preserve"> as-is.  We have also configured the OGCE GPIR portlet to point to the TeraG</w:t>
      </w:r>
      <w:r>
        <w:t>r</w:t>
      </w:r>
      <w:r>
        <w:t>id’s GPIR Web Service</w:t>
      </w:r>
      <w:r w:rsidR="00971F0F">
        <w:t xml:space="preserve"> </w:t>
      </w:r>
      <w:r w:rsidR="00A90F13">
        <w:fldChar w:fldCharType="begin"/>
      </w:r>
      <w:r w:rsidR="00971F0F">
        <w:instrText xml:space="preserve"> REF _Ref158731276 \r \h </w:instrText>
      </w:r>
      <w:r w:rsidR="00A90F13">
        <w:fldChar w:fldCharType="separate"/>
      </w:r>
      <w:r w:rsidR="00FE3B71">
        <w:t>[12]</w:t>
      </w:r>
      <w:r w:rsidR="00A90F13">
        <w:fldChar w:fldCharType="end"/>
      </w:r>
      <w:r>
        <w:t xml:space="preserve">, thus providing a global view of resource load and related information (see </w:t>
      </w:r>
      <w:r w:rsidR="00581D8B">
        <w:t xml:space="preserve">[2] </w:t>
      </w:r>
      <w:r>
        <w:t>for more i</w:t>
      </w:r>
      <w:r>
        <w:t>n</w:t>
      </w:r>
      <w:r>
        <w:t>formation).  In addition to these Grid-centric portlets, the OGCE IFrame portlet provides a simple mechanism for integrating non-portlet Web pages.  We used this i</w:t>
      </w:r>
      <w:r w:rsidRPr="00B65163">
        <w:t xml:space="preserve">n </w:t>
      </w:r>
      <w:r>
        <w:t xml:space="preserve">the </w:t>
      </w:r>
      <w:r w:rsidRPr="00B65163">
        <w:t>Big Red portal</w:t>
      </w:r>
      <w:r>
        <w:t xml:space="preserve"> to provide an interface to </w:t>
      </w:r>
      <w:r w:rsidRPr="00B65163">
        <w:t>Indiana University</w:t>
      </w:r>
      <w:r>
        <w:t>’s</w:t>
      </w:r>
      <w:r w:rsidRPr="00B65163">
        <w:t xml:space="preserve"> Knowle</w:t>
      </w:r>
      <w:r>
        <w:t>d</w:t>
      </w:r>
      <w:r w:rsidRPr="00B65163">
        <w:t>ge Base website</w:t>
      </w:r>
      <w:r w:rsidR="007B61B1">
        <w:t xml:space="preserve"> [13].</w:t>
      </w:r>
    </w:p>
    <w:p w:rsidR="002234E1" w:rsidRPr="00892898" w:rsidRDefault="002234E1" w:rsidP="002234E1">
      <w:pPr>
        <w:pStyle w:val="Heading2"/>
        <w:rPr>
          <w:rFonts w:ascii="Times New Roman" w:hAnsi="Times New Roman" w:cs="Verdana"/>
          <w:sz w:val="24"/>
          <w:szCs w:val="28"/>
          <w:lang w:eastAsia="ko-KR"/>
        </w:rPr>
      </w:pPr>
      <w:r>
        <w:rPr>
          <w:bCs/>
          <w:color w:val="000000"/>
        </w:rPr>
        <w:t>2.4</w:t>
      </w:r>
      <w:r w:rsidRPr="00711741">
        <w:rPr>
          <w:bCs/>
          <w:color w:val="000000"/>
        </w:rPr>
        <w:t xml:space="preserve"> </w:t>
      </w:r>
      <w:r>
        <w:t>Integration with Other TeraGrid Resources</w:t>
      </w:r>
    </w:p>
    <w:p w:rsidR="002234E1" w:rsidRPr="00A21100" w:rsidRDefault="002234E1" w:rsidP="002234E1">
      <w:pPr>
        <w:pStyle w:val="PARAGRAPH"/>
      </w:pPr>
      <w:r w:rsidRPr="00B65163">
        <w:t xml:space="preserve">Although designed to </w:t>
      </w:r>
      <w:r w:rsidR="00581D8B">
        <w:t>work</w:t>
      </w:r>
      <w:r w:rsidR="00581D8B" w:rsidRPr="00B65163">
        <w:t xml:space="preserve"> </w:t>
      </w:r>
      <w:r w:rsidRPr="00B65163">
        <w:t>with Big Red, our portlets can be used with any other gateway in TeraGrid. To pr</w:t>
      </w:r>
      <w:r w:rsidRPr="00B65163">
        <w:t>o</w:t>
      </w:r>
      <w:r w:rsidRPr="00B65163">
        <w:t>vide the same functions transparently, our portlets provide a few methods to allow a user to customize environmental settings such as execution path</w:t>
      </w:r>
      <w:r w:rsidR="00581D8B">
        <w:t xml:space="preserve"> and </w:t>
      </w:r>
      <w:r w:rsidRPr="00B65163">
        <w:t xml:space="preserve">working directory. Such values can be redefined by changing portlet.xml </w:t>
      </w:r>
      <w:r w:rsidR="00581D8B" w:rsidRPr="00581D8B">
        <w:t xml:space="preserve">file </w:t>
      </w:r>
      <w:r w:rsidR="00581D8B">
        <w:t xml:space="preserve">(which must be done by the portal administrator) </w:t>
      </w:r>
      <w:r w:rsidRPr="00B65163">
        <w:t xml:space="preserve">or </w:t>
      </w:r>
      <w:r w:rsidR="00581D8B">
        <w:t xml:space="preserve">by </w:t>
      </w:r>
      <w:r w:rsidRPr="00B65163">
        <w:t xml:space="preserve">using </w:t>
      </w:r>
      <w:r w:rsidR="00581D8B">
        <w:t xml:space="preserve">the </w:t>
      </w:r>
      <w:r w:rsidRPr="00B65163">
        <w:t xml:space="preserve">portlet’s EDIT function, a standard interface to change user’s preferences. </w:t>
      </w:r>
      <w:r w:rsidRPr="00B65163">
        <w:rPr>
          <w:rFonts w:ascii="Times New Roman" w:hAnsi="Times New Roman"/>
          <w:sz w:val="22"/>
          <w:szCs w:val="22"/>
        </w:rPr>
        <w:t xml:space="preserve">In </w:t>
      </w:r>
      <w:r>
        <w:rPr>
          <w:szCs w:val="22"/>
        </w:rPr>
        <w:t xml:space="preserve">the </w:t>
      </w:r>
      <w:r w:rsidRPr="00B65163">
        <w:rPr>
          <w:rFonts w:ascii="Times New Roman" w:hAnsi="Times New Roman"/>
          <w:sz w:val="22"/>
          <w:szCs w:val="22"/>
        </w:rPr>
        <w:t xml:space="preserve">case of </w:t>
      </w:r>
      <w:r w:rsidR="005570C1">
        <w:rPr>
          <w:rFonts w:ascii="Times New Roman" w:hAnsi="Times New Roman"/>
          <w:sz w:val="22"/>
          <w:szCs w:val="22"/>
        </w:rPr>
        <w:t xml:space="preserve">the </w:t>
      </w:r>
      <w:r w:rsidRPr="00A21100">
        <w:t>Dashboard portlet, discordance of user ID between a user certificate and a remote system can be a problem. To avoid this pro</w:t>
      </w:r>
      <w:r w:rsidRPr="00A21100">
        <w:t>b</w:t>
      </w:r>
      <w:r w:rsidRPr="00A21100">
        <w:t xml:space="preserve">lem, we can submit a Gram job to execute </w:t>
      </w:r>
      <w:r w:rsidR="00E43EEA" w:rsidRPr="00E43EEA">
        <w:rPr>
          <w:i/>
        </w:rPr>
        <w:t>whoami</w:t>
      </w:r>
      <w:r w:rsidR="005570C1">
        <w:t xml:space="preserve"> </w:t>
      </w:r>
      <w:r w:rsidRPr="00A21100">
        <w:t>command to find a correct user ID.</w:t>
      </w:r>
    </w:p>
    <w:p w:rsidR="002234E1" w:rsidRPr="00B65163" w:rsidRDefault="005570C1" w:rsidP="002234E1">
      <w:pPr>
        <w:pStyle w:val="Heading1"/>
      </w:pPr>
      <w:r>
        <w:rPr>
          <w:rStyle w:val="Figurereferenceto"/>
          <w:bCs/>
          <w:color w:val="000000"/>
        </w:rPr>
        <w:lastRenderedPageBreak/>
        <w:t>3</w:t>
      </w:r>
      <w:r w:rsidR="002234E1" w:rsidRPr="00711741">
        <w:rPr>
          <w:rStyle w:val="Figurereferenceto"/>
          <w:bCs/>
          <w:color w:val="000000"/>
        </w:rPr>
        <w:tab/>
      </w:r>
      <w:r w:rsidR="002234E1" w:rsidRPr="00B65163">
        <w:t>Integrati</w:t>
      </w:r>
      <w:r w:rsidR="00F30CE5">
        <w:t>ng</w:t>
      </w:r>
      <w:r w:rsidR="002234E1" w:rsidRPr="00B65163">
        <w:t xml:space="preserve"> GTLAB </w:t>
      </w:r>
      <w:r w:rsidR="00F30CE5">
        <w:t>With</w:t>
      </w:r>
      <w:r w:rsidR="002234E1" w:rsidRPr="00B65163">
        <w:t xml:space="preserve"> Big Red </w:t>
      </w:r>
      <w:r w:rsidR="002234E1">
        <w:t>P</w:t>
      </w:r>
      <w:r w:rsidR="002234E1" w:rsidRPr="00B65163">
        <w:t>ortlets</w:t>
      </w:r>
    </w:p>
    <w:p w:rsidR="00092627" w:rsidRDefault="00A90F13" w:rsidP="002234E1">
      <w:r>
        <w:rPr>
          <w:noProof/>
          <w:lang w:eastAsia="zh-TW"/>
        </w:rPr>
        <w:pict>
          <v:shape id="_x0000_s1137" type="#_x0000_t202" style="position:absolute;left:0;text-align:left;margin-left:-.45pt;margin-top:-509.3pt;width:251.55pt;height:43.8pt;z-index:251657216;mso-width-relative:margin;mso-height-relative:margin" stroked="f">
            <v:textbox style="mso-next-textbox:#_x0000_s1137">
              <w:txbxContent>
                <w:p w:rsidR="00B25DBB" w:rsidRPr="00787606" w:rsidRDefault="00B25DBB" w:rsidP="002234E1">
                  <w:pPr>
                    <w:pStyle w:val="Caption"/>
                    <w:rPr>
                      <w:rFonts w:eastAsia="Malgun Gothic"/>
                      <w:sz w:val="16"/>
                      <w:szCs w:val="16"/>
                      <w:lang w:eastAsia="ko-KR"/>
                    </w:rPr>
                  </w:pPr>
                  <w:r w:rsidRPr="00787606">
                    <w:rPr>
                      <w:b/>
                      <w:sz w:val="16"/>
                      <w:szCs w:val="16"/>
                    </w:rPr>
                    <w:t>Figure 2</w:t>
                  </w:r>
                  <w:r w:rsidRPr="00787606">
                    <w:rPr>
                      <w:rFonts w:hint="eastAsia"/>
                      <w:sz w:val="16"/>
                      <w:szCs w:val="16"/>
                      <w:lang w:eastAsia="ko-KR"/>
                    </w:rPr>
                    <w:t xml:space="preserve"> </w:t>
                  </w:r>
                  <w:r w:rsidRPr="00787606">
                    <w:rPr>
                      <w:sz w:val="16"/>
                      <w:szCs w:val="16"/>
                      <w:lang w:eastAsia="ko-KR"/>
                    </w:rPr>
                    <w:t>The d</w:t>
                  </w:r>
                  <w:r w:rsidRPr="00787606">
                    <w:rPr>
                      <w:rFonts w:hint="eastAsia"/>
                      <w:sz w:val="16"/>
                      <w:szCs w:val="16"/>
                      <w:lang w:eastAsia="ko-KR"/>
                    </w:rPr>
                    <w:t>ashboard portlet</w:t>
                  </w:r>
                  <w:r w:rsidRPr="00787606">
                    <w:rPr>
                      <w:rFonts w:eastAsia="Malgun Gothic"/>
                      <w:sz w:val="16"/>
                      <w:szCs w:val="16"/>
                      <w:lang w:eastAsia="ko-KR"/>
                    </w:rPr>
                    <w:t xml:space="preserve"> allows users to track jobs on the selected resource. The user can view either his own set of jobs or get information on all submitted jobs.</w:t>
                  </w:r>
                </w:p>
              </w:txbxContent>
            </v:textbox>
            <w10:wrap type="square"/>
          </v:shape>
        </w:pict>
      </w:r>
      <w:r w:rsidR="002234E1">
        <w:t>Portlets provide a common component for building po</w:t>
      </w:r>
      <w:r w:rsidR="002234E1">
        <w:t>r</w:t>
      </w:r>
      <w:r w:rsidR="002234E1">
        <w:t>tals out of reusable parts.  For example</w:t>
      </w:r>
      <w:r w:rsidR="005570C1">
        <w:t>, as mentioned pr</w:t>
      </w:r>
      <w:r w:rsidR="005570C1">
        <w:t>e</w:t>
      </w:r>
      <w:r w:rsidR="005570C1">
        <w:t>viously</w:t>
      </w:r>
      <w:r w:rsidR="002234E1">
        <w:t>, the OGCE portal has portlets for job submission, credential management, and file management that can be plugged into any standard compliant container.  Often, however, as in the case of the MEME portlet described above</w:t>
      </w:r>
      <w:r w:rsidR="005570C1">
        <w:t>,</w:t>
      </w:r>
      <w:r w:rsidR="002234E1">
        <w:t xml:space="preserve"> portlets are not quite fine-grained enough comp</w:t>
      </w:r>
      <w:r w:rsidR="002234E1">
        <w:t>o</w:t>
      </w:r>
      <w:r w:rsidR="002234E1">
        <w:t>nents</w:t>
      </w:r>
      <w:r w:rsidR="00C26836">
        <w:t>. W</w:t>
      </w:r>
      <w:r w:rsidR="002234E1">
        <w:t xml:space="preserve">e would like to build portlets that combine several Grid operations in the same portlet. Our work on </w:t>
      </w:r>
      <w:r w:rsidR="00A65380">
        <w:t>GTLAB</w:t>
      </w:r>
      <w:r w:rsidR="002234E1" w:rsidRPr="00B65163">
        <w:t xml:space="preserve"> </w:t>
      </w:r>
      <w:r w:rsidR="002234E1">
        <w:t>provides a set of</w:t>
      </w:r>
      <w:r w:rsidR="002234E1" w:rsidRPr="00B65163">
        <w:t xml:space="preserve"> </w:t>
      </w:r>
      <w:r w:rsidR="002234E1">
        <w:t xml:space="preserve">Java Server Faces (JSF) tag libraries and backing JavaBeans (called Grid beans) that attempt to solve this problem.  </w:t>
      </w:r>
      <w:r w:rsidR="00092627">
        <w:t>A full discussion of JSF is out of scope here, but briefly, JSF generates HTML from a set of XML tags.  HTML form actions are associated with so-called backing Jav</w:t>
      </w:r>
      <w:r w:rsidR="0044537E">
        <w:t>aBeans, which in turn may act as Web Service clients or connect to databases</w:t>
      </w:r>
      <w:r w:rsidR="00092627">
        <w:t>.  Developers can extend these libraries to provide their own XML tags.</w:t>
      </w:r>
    </w:p>
    <w:p w:rsidR="002234E1" w:rsidRDefault="002234E1" w:rsidP="002234E1">
      <w:r>
        <w:t>The goal of GTLAB is to simplify the process of Grid por</w:t>
      </w:r>
      <w:r>
        <w:t>t</w:t>
      </w:r>
      <w:r>
        <w:t>let development by encapsulating common Grid operations as XML tags that can be embedded in portlet pages, enab</w:t>
      </w:r>
      <w:r>
        <w:t>l</w:t>
      </w:r>
      <w:r>
        <w:t xml:space="preserve">ing rapid development. GTLAB capabilities include </w:t>
      </w:r>
      <w:r w:rsidRPr="00B65163">
        <w:t>crede</w:t>
      </w:r>
      <w:r w:rsidRPr="00B65163">
        <w:t>n</w:t>
      </w:r>
      <w:r w:rsidRPr="00B65163">
        <w:t>tial</w:t>
      </w:r>
      <w:r>
        <w:t xml:space="preserve"> management</w:t>
      </w:r>
      <w:r w:rsidRPr="00B65163">
        <w:t xml:space="preserve">, </w:t>
      </w:r>
      <w:r>
        <w:t xml:space="preserve">remote </w:t>
      </w:r>
      <w:r w:rsidRPr="00B65163">
        <w:t>file operations, remote job exec</w:t>
      </w:r>
      <w:r w:rsidRPr="00B65163">
        <w:t>u</w:t>
      </w:r>
      <w:r w:rsidRPr="00B65163">
        <w:t>tions</w:t>
      </w:r>
      <w:r w:rsidR="0044537E">
        <w:t>,</w:t>
      </w:r>
      <w:r w:rsidRPr="00B65163">
        <w:t xml:space="preserve"> and file transfers. </w:t>
      </w:r>
    </w:p>
    <w:p w:rsidR="002234E1" w:rsidRDefault="002234E1" w:rsidP="002234E1">
      <w:pPr>
        <w:rPr>
          <w:b/>
        </w:rPr>
      </w:pPr>
      <w:r>
        <w:t xml:space="preserve">The </w:t>
      </w:r>
      <w:r w:rsidRPr="00B65163">
        <w:t xml:space="preserve">JSF </w:t>
      </w:r>
      <w:r>
        <w:t>W</w:t>
      </w:r>
      <w:r w:rsidRPr="00B65163">
        <w:t xml:space="preserve">eb application framework </w:t>
      </w:r>
      <w:r>
        <w:t xml:space="preserve">provides us with </w:t>
      </w:r>
      <w:r w:rsidR="00A65380">
        <w:t>e</w:t>
      </w:r>
      <w:r w:rsidR="00A65380">
        <w:t>x</w:t>
      </w:r>
      <w:r w:rsidR="00A65380">
        <w:t>tensible</w:t>
      </w:r>
      <w:r w:rsidRPr="00B65163">
        <w:t xml:space="preserve"> component architecture. </w:t>
      </w:r>
      <w:r>
        <w:t>Each XML tag is ass</w:t>
      </w:r>
      <w:r>
        <w:t>o</w:t>
      </w:r>
      <w:r>
        <w:t>ciated with a backing Grid bean that implements the actual Grid clients, which we build with the Java CoG kit</w:t>
      </w:r>
      <w:r w:rsidR="00F30CE5">
        <w:t xml:space="preserve"> [5]</w:t>
      </w:r>
      <w:r>
        <w:t>.  We use JSF’s built-in functionality to pass a</w:t>
      </w:r>
      <w:r w:rsidRPr="00B65163">
        <w:t>ttribute values f</w:t>
      </w:r>
      <w:r>
        <w:t xml:space="preserve">rom the XML tags to the backing </w:t>
      </w:r>
      <w:r w:rsidRPr="00B65163">
        <w:t>beans</w:t>
      </w:r>
      <w:r>
        <w:t xml:space="preserve">.  </w:t>
      </w:r>
      <w:r w:rsidRPr="00B65163">
        <w:t>Grid beans are ass</w:t>
      </w:r>
      <w:r w:rsidRPr="00B65163">
        <w:t>o</w:t>
      </w:r>
      <w:r w:rsidRPr="00B65163">
        <w:t xml:space="preserve">ciated with Grid tags and their action methods are fired by </w:t>
      </w:r>
      <w:r w:rsidR="000D55DA">
        <w:t xml:space="preserve">our </w:t>
      </w:r>
      <w:r w:rsidRPr="00B65163">
        <w:t xml:space="preserve">'submit' tag. Tracking the jobs and monitoring is also part of the GTLAB framework.  </w:t>
      </w:r>
    </w:p>
    <w:p w:rsidR="002234E1" w:rsidRPr="00B65163" w:rsidRDefault="002234E1" w:rsidP="002234E1">
      <w:pPr>
        <w:pStyle w:val="Heading2"/>
      </w:pPr>
      <w:r>
        <w:rPr>
          <w:bCs/>
          <w:color w:val="000000"/>
        </w:rPr>
        <w:t>3.1</w:t>
      </w:r>
      <w:r w:rsidRPr="00711741">
        <w:rPr>
          <w:bCs/>
          <w:color w:val="000000"/>
        </w:rPr>
        <w:t xml:space="preserve"> </w:t>
      </w:r>
      <w:r w:rsidRPr="00B65163">
        <w:t>How to use GTLAB within Big Red portlets</w:t>
      </w:r>
    </w:p>
    <w:p w:rsidR="002234E1" w:rsidRDefault="002234E1" w:rsidP="002234E1">
      <w:r w:rsidRPr="00B65163">
        <w:t>Typically a Grid portlet stages various related tasks in r</w:t>
      </w:r>
      <w:r w:rsidRPr="00B65163">
        <w:t>e</w:t>
      </w:r>
      <w:r w:rsidRPr="00B65163">
        <w:t xml:space="preserve">sponse to a user-generated event.  These are usually the nodes of a Directed Acyclic Graph (DAG), which </w:t>
      </w:r>
      <w:r>
        <w:t>our</w:t>
      </w:r>
      <w:r w:rsidRPr="00B65163">
        <w:t xml:space="preserve"> Grid tags are designed to support.  The DAG, or composite task, is called </w:t>
      </w:r>
      <w:r w:rsidRPr="00B65163">
        <w:rPr>
          <w:i/>
        </w:rPr>
        <w:t xml:space="preserve">multitask </w:t>
      </w:r>
      <w:r w:rsidRPr="00B65163">
        <w:t xml:space="preserve">in GTLAB. </w:t>
      </w:r>
      <w:r>
        <w:t>Currently, m</w:t>
      </w:r>
      <w:r w:rsidRPr="00B65163">
        <w:t>ultitasks only allow dependent task units and prevent parallel tasks and cycles.</w:t>
      </w:r>
    </w:p>
    <w:p w:rsidR="002234E1" w:rsidRDefault="002234E1" w:rsidP="002234E1">
      <w:r w:rsidRPr="00B65163">
        <w:t>After building the sub-tasks, multitask and their depe</w:t>
      </w:r>
      <w:r w:rsidRPr="00B65163">
        <w:t>n</w:t>
      </w:r>
      <w:r w:rsidRPr="00B65163">
        <w:t xml:space="preserve">dencies, GTLAB </w:t>
      </w:r>
      <w:r>
        <w:t xml:space="preserve">then </w:t>
      </w:r>
      <w:r w:rsidRPr="00B65163">
        <w:t>register</w:t>
      </w:r>
      <w:r>
        <w:t>s</w:t>
      </w:r>
      <w:r w:rsidRPr="00B65163">
        <w:t xml:space="preserve"> multitasks in the </w:t>
      </w:r>
      <w:r>
        <w:t xml:space="preserve">browser </w:t>
      </w:r>
      <w:r w:rsidRPr="00B65163">
        <w:t>session. In addition, it registers their handler information within the session to track their lifecycle. All of the objects</w:t>
      </w:r>
      <w:r>
        <w:t xml:space="preserve"> are</w:t>
      </w:r>
      <w:r w:rsidRPr="00B65163">
        <w:t xml:space="preserve"> stored in hash tables with a unique key</w:t>
      </w:r>
      <w:r>
        <w:t xml:space="preserve">. </w:t>
      </w:r>
      <w:r w:rsidRPr="00B65163">
        <w:t xml:space="preserve">The job handler information can be </w:t>
      </w:r>
      <w:r>
        <w:t xml:space="preserve">stored </w:t>
      </w:r>
      <w:r w:rsidRPr="00B65163">
        <w:t>persiste</w:t>
      </w:r>
      <w:r>
        <w:t>ntly</w:t>
      </w:r>
      <w:r w:rsidRPr="00B65163">
        <w:t xml:space="preserve"> to</w:t>
      </w:r>
      <w:r>
        <w:t xml:space="preserve"> a</w:t>
      </w:r>
      <w:r w:rsidRPr="00B65163">
        <w:t xml:space="preserve"> backend storage system </w:t>
      </w:r>
      <w:r>
        <w:t xml:space="preserve">(i.e., a database) </w:t>
      </w:r>
      <w:r w:rsidRPr="00B65163">
        <w:t xml:space="preserve">by setting </w:t>
      </w:r>
      <w:r w:rsidRPr="00B65163">
        <w:rPr>
          <w:i/>
        </w:rPr>
        <w:t xml:space="preserve">persistent </w:t>
      </w:r>
      <w:r w:rsidRPr="00B65163">
        <w:t xml:space="preserve">attribute of multitask. </w:t>
      </w:r>
    </w:p>
    <w:p w:rsidR="002234E1" w:rsidRPr="00B65163" w:rsidRDefault="002234E1" w:rsidP="002234E1">
      <w:r w:rsidRPr="00B65163">
        <w:rPr>
          <w:shd w:val="clear" w:color="auto" w:fill="FFFFFF"/>
        </w:rPr>
        <w:t xml:space="preserve">The following </w:t>
      </w:r>
      <w:r w:rsidR="00FF1BE8">
        <w:rPr>
          <w:shd w:val="clear" w:color="auto" w:fill="FFFFFF"/>
        </w:rPr>
        <w:t>scenario</w:t>
      </w:r>
      <w:r w:rsidRPr="00B65163">
        <w:rPr>
          <w:shd w:val="clear" w:color="auto" w:fill="FFFFFF"/>
        </w:rPr>
        <w:t xml:space="preserve"> </w:t>
      </w:r>
      <w:r w:rsidR="00FF1BE8">
        <w:rPr>
          <w:shd w:val="clear" w:color="auto" w:fill="FFFFFF"/>
        </w:rPr>
        <w:t>shows the building of</w:t>
      </w:r>
      <w:r w:rsidRPr="00B65163">
        <w:rPr>
          <w:shd w:val="clear" w:color="auto" w:fill="FFFFFF"/>
        </w:rPr>
        <w:t xml:space="preserve"> multitask for MEME with </w:t>
      </w:r>
      <w:r w:rsidR="00FF1BE8">
        <w:rPr>
          <w:shd w:val="clear" w:color="auto" w:fill="FFFFFF"/>
        </w:rPr>
        <w:t>dependent multi-staged tasks</w:t>
      </w:r>
      <w:r w:rsidRPr="00B65163">
        <w:rPr>
          <w:shd w:val="clear" w:color="auto" w:fill="FFFFFF"/>
        </w:rPr>
        <w:t>.</w:t>
      </w:r>
      <w:r w:rsidRPr="00B65163">
        <w:t xml:space="preserve"> </w:t>
      </w:r>
      <w:r>
        <w:t xml:space="preserve">Assume a </w:t>
      </w:r>
      <w:r w:rsidR="00E43EEA" w:rsidRPr="00E43EEA">
        <w:t>developer</w:t>
      </w:r>
      <w:r>
        <w:t xml:space="preserve"> has been assigned the job of creating a portlet to do the following </w:t>
      </w:r>
      <w:r w:rsidR="00F30CE5">
        <w:t>basic tasks.</w:t>
      </w:r>
      <w:r>
        <w:t xml:space="preserve">  First</w:t>
      </w:r>
      <w:r w:rsidRPr="00B65163">
        <w:t xml:space="preserve">, </w:t>
      </w:r>
      <w:r>
        <w:t>Task</w:t>
      </w:r>
      <w:r w:rsidRPr="00B65163">
        <w:t xml:space="preserve"> A makes a </w:t>
      </w:r>
      <w:r w:rsidR="00F30CE5">
        <w:t xml:space="preserve">working </w:t>
      </w:r>
      <w:r w:rsidRPr="00B65163">
        <w:t xml:space="preserve">directory on Big </w:t>
      </w:r>
      <w:r>
        <w:t>R</w:t>
      </w:r>
      <w:r w:rsidRPr="00B65163">
        <w:t xml:space="preserve">ed. </w:t>
      </w:r>
      <w:r>
        <w:t>Then, Task</w:t>
      </w:r>
      <w:r w:rsidRPr="00B65163">
        <w:t xml:space="preserve"> B transfers an input file from a remote host to </w:t>
      </w:r>
      <w:r w:rsidR="00F30CE5">
        <w:t xml:space="preserve">the </w:t>
      </w:r>
      <w:r w:rsidRPr="00B65163">
        <w:t>newly created directory</w:t>
      </w:r>
      <w:r>
        <w:t xml:space="preserve">.  Finally, </w:t>
      </w:r>
      <w:r w:rsidRPr="00B65163">
        <w:t>Task C is responsible for submitting a command</w:t>
      </w:r>
      <w:r w:rsidR="00F30CE5">
        <w:t xml:space="preserve"> </w:t>
      </w:r>
      <w:r w:rsidRPr="00B65163">
        <w:t>script on Bi</w:t>
      </w:r>
      <w:r>
        <w:t>g Red</w:t>
      </w:r>
      <w:r w:rsidRPr="00B65163">
        <w:t xml:space="preserve"> using </w:t>
      </w:r>
      <w:r>
        <w:t xml:space="preserve">the </w:t>
      </w:r>
      <w:r w:rsidRPr="00B65163">
        <w:t xml:space="preserve">input file. The following sections explain the scenario in detail through the use of Grid tags. </w:t>
      </w:r>
      <w:r>
        <w:t xml:space="preserve"> After the portlet is finished and deployed, </w:t>
      </w:r>
      <w:r w:rsidR="00E43EEA" w:rsidRPr="00E43EEA">
        <w:t>users</w:t>
      </w:r>
      <w:r w:rsidRPr="00775A09">
        <w:rPr>
          <w:i/>
        </w:rPr>
        <w:t xml:space="preserve"> </w:t>
      </w:r>
      <w:r>
        <w:t xml:space="preserve">will then submit </w:t>
      </w:r>
      <w:r>
        <w:lastRenderedPageBreak/>
        <w:t>and monitor jobs using the developer’s portlet.  Users will not see the tag libraries and will interact with standard HTML pages that get generated when the portlet is re</w:t>
      </w:r>
      <w:r>
        <w:t>n</w:t>
      </w:r>
      <w:r>
        <w:t>dered.</w:t>
      </w:r>
    </w:p>
    <w:p w:rsidR="002234E1" w:rsidRDefault="002234E1" w:rsidP="002234E1">
      <w:pPr>
        <w:pStyle w:val="Heading2"/>
      </w:pPr>
      <w:r>
        <w:rPr>
          <w:bCs/>
          <w:color w:val="000000"/>
        </w:rPr>
        <w:t>3.2</w:t>
      </w:r>
      <w:r w:rsidRPr="00711741">
        <w:rPr>
          <w:bCs/>
          <w:color w:val="000000"/>
        </w:rPr>
        <w:t xml:space="preserve"> </w:t>
      </w:r>
      <w:r w:rsidRPr="00B65163">
        <w:t xml:space="preserve">Preparing </w:t>
      </w:r>
      <w:r>
        <w:t>A</w:t>
      </w:r>
      <w:r w:rsidRPr="00B65163">
        <w:t xml:space="preserve">pplication </w:t>
      </w:r>
      <w:r>
        <w:t>P</w:t>
      </w:r>
      <w:r w:rsidRPr="00B65163">
        <w:t>ages</w:t>
      </w:r>
    </w:p>
    <w:p w:rsidR="0044537E" w:rsidRDefault="002234E1" w:rsidP="0044537E">
      <w:r>
        <w:t>The developer start</w:t>
      </w:r>
      <w:r w:rsidR="00F30CE5">
        <w:t>s</w:t>
      </w:r>
      <w:r>
        <w:t xml:space="preserve"> by creating a JSF form that generates the HTML interface (</w:t>
      </w:r>
      <w:r w:rsidR="00FC095D">
        <w:t>Table</w:t>
      </w:r>
      <w:r>
        <w:t xml:space="preserve"> 1).  After the HTML form is pr</w:t>
      </w:r>
      <w:r>
        <w:t>o</w:t>
      </w:r>
      <w:r>
        <w:t>totyped, the developer can now add GTLAB tags to Grid-enable the HTML form submission components</w:t>
      </w:r>
      <w:r w:rsidR="0044537E">
        <w:t xml:space="preserve">. GTLAB </w:t>
      </w:r>
      <w:r w:rsidRPr="00B65163">
        <w:t xml:space="preserve">tags </w:t>
      </w:r>
      <w:r>
        <w:t>consist of</w:t>
      </w:r>
      <w:r w:rsidRPr="00B65163">
        <w:t xml:space="preserve"> non-visual </w:t>
      </w:r>
      <w:r w:rsidR="00092627">
        <w:t xml:space="preserve">page action </w:t>
      </w:r>
      <w:r w:rsidRPr="00B65163">
        <w:t>components</w:t>
      </w:r>
      <w:r>
        <w:t xml:space="preserve"> with one exception: we override the </w:t>
      </w:r>
      <w:r w:rsidRPr="00B65163">
        <w:t>'submit</w:t>
      </w:r>
      <w:r w:rsidR="00092627">
        <w:t>’</w:t>
      </w:r>
      <w:r w:rsidRPr="00B65163">
        <w:t xml:space="preserve"> button</w:t>
      </w:r>
      <w:r w:rsidR="00092627">
        <w:t xml:space="preserve"> </w:t>
      </w:r>
      <w:r>
        <w:t xml:space="preserve">tag </w:t>
      </w:r>
      <w:r w:rsidRPr="00B65163">
        <w:t>that prop</w:t>
      </w:r>
      <w:r w:rsidRPr="00B65163">
        <w:t>a</w:t>
      </w:r>
      <w:r w:rsidRPr="00B65163">
        <w:t>gates user</w:t>
      </w:r>
      <w:r>
        <w:t xml:space="preserve"> </w:t>
      </w:r>
      <w:r w:rsidRPr="00B65163">
        <w:t>event</w:t>
      </w:r>
      <w:r>
        <w:t>s</w:t>
      </w:r>
      <w:r w:rsidRPr="00B65163">
        <w:t xml:space="preserve"> to </w:t>
      </w:r>
      <w:r>
        <w:t xml:space="preserve">the </w:t>
      </w:r>
      <w:r w:rsidRPr="00B65163">
        <w:t xml:space="preserve">backend. </w:t>
      </w:r>
    </w:p>
    <w:p w:rsidR="002234E1" w:rsidRDefault="002234E1" w:rsidP="002234E1">
      <w:r>
        <w:t xml:space="preserve">A full example is given in Table 1.  The </w:t>
      </w:r>
      <w:r w:rsidRPr="00B65163">
        <w:t>GTLAB tag part</w:t>
      </w:r>
      <w:r w:rsidR="00092627">
        <w:t xml:space="preserve"> that specifies the Grid actions</w:t>
      </w:r>
      <w:r w:rsidRPr="00B65163">
        <w:t xml:space="preserve"> </w:t>
      </w:r>
      <w:r>
        <w:t xml:space="preserve">is </w:t>
      </w:r>
      <w:r w:rsidRPr="00B65163">
        <w:t xml:space="preserve">surrounded by GTLAB </w:t>
      </w:r>
      <w:r w:rsidRPr="006836AC">
        <w:rPr>
          <w:i/>
        </w:rPr>
        <w:t>submit</w:t>
      </w:r>
      <w:r w:rsidRPr="00B65163">
        <w:t xml:space="preserve"> tag</w:t>
      </w:r>
      <w:r>
        <w:t>,</w:t>
      </w:r>
      <w:r w:rsidRPr="00B65163">
        <w:t xml:space="preserve"> which </w:t>
      </w:r>
      <w:r w:rsidR="00092627">
        <w:t xml:space="preserve">in turn </w:t>
      </w:r>
      <w:r>
        <w:t>is</w:t>
      </w:r>
      <w:r w:rsidRPr="00B65163">
        <w:t xml:space="preserve"> </w:t>
      </w:r>
      <w:r w:rsidR="00092627">
        <w:t xml:space="preserve">contained </w:t>
      </w:r>
      <w:r w:rsidRPr="00B65163">
        <w:t xml:space="preserve">within JSF view page. </w:t>
      </w:r>
      <w:r w:rsidR="0044537E">
        <w:t xml:space="preserve"> Table 1 shows the key GTLAB tags for constructing the Dashboard portlet.  </w:t>
      </w:r>
      <w:r w:rsidR="0044537E" w:rsidRPr="00B65163">
        <w:t xml:space="preserve">As explained in the previous </w:t>
      </w:r>
      <w:r w:rsidR="0044537E">
        <w:t>section</w:t>
      </w:r>
      <w:r w:rsidR="0044537E" w:rsidRPr="00B65163">
        <w:t xml:space="preserve">, </w:t>
      </w:r>
      <w:r w:rsidR="0044537E" w:rsidRPr="00A65380">
        <w:t xml:space="preserve">this portlet basically </w:t>
      </w:r>
      <w:r w:rsidR="00FF48E8" w:rsidRPr="00A65380">
        <w:t xml:space="preserve">gets user credential from myproxy repository and </w:t>
      </w:r>
      <w:r w:rsidR="0044537E" w:rsidRPr="00A65380">
        <w:t xml:space="preserve">submits two dependent jobs using GRAM service. </w:t>
      </w:r>
      <w:r w:rsidR="00FF48E8" w:rsidRPr="00A65380">
        <w:t xml:space="preserve">End users provide username and password </w:t>
      </w:r>
      <w:r w:rsidR="00092745" w:rsidRPr="00A65380">
        <w:t>values</w:t>
      </w:r>
      <w:r w:rsidR="00FF48E8" w:rsidRPr="00A65380">
        <w:t xml:space="preserve"> that are bound to </w:t>
      </w:r>
      <w:r w:rsidR="00FF48E8" w:rsidRPr="00A65380">
        <w:rPr>
          <w:i/>
        </w:rPr>
        <w:t>o:myproxy</w:t>
      </w:r>
      <w:r w:rsidR="00FF48E8" w:rsidRPr="00A65380">
        <w:t xml:space="preserve"> tag attributes in the web from. </w:t>
      </w:r>
      <w:r w:rsidR="0044537E">
        <w:t>The f</w:t>
      </w:r>
      <w:r w:rsidR="0044537E" w:rsidRPr="00B65163">
        <w:t xml:space="preserve">irst </w:t>
      </w:r>
      <w:r w:rsidR="00FF48E8">
        <w:t>job</w:t>
      </w:r>
      <w:r w:rsidR="0044537E" w:rsidRPr="00B65163">
        <w:t xml:space="preserve"> is to retrieve </w:t>
      </w:r>
      <w:r w:rsidR="0044537E">
        <w:t xml:space="preserve">the </w:t>
      </w:r>
      <w:r w:rsidR="0044537E" w:rsidRPr="00B65163">
        <w:t xml:space="preserve">user </w:t>
      </w:r>
      <w:r w:rsidR="0044537E">
        <w:t>ID</w:t>
      </w:r>
      <w:r w:rsidR="0044537E" w:rsidRPr="00B65163">
        <w:t xml:space="preserve"> on the </w:t>
      </w:r>
      <w:r w:rsidR="0044537E">
        <w:t xml:space="preserve">specific </w:t>
      </w:r>
      <w:r w:rsidR="0044537E" w:rsidRPr="00B65163">
        <w:t>Tera</w:t>
      </w:r>
      <w:r w:rsidR="0044537E">
        <w:t>G</w:t>
      </w:r>
      <w:r w:rsidR="0044537E" w:rsidRPr="00B65163">
        <w:t>r</w:t>
      </w:r>
      <w:r w:rsidR="0044537E" w:rsidRPr="00B65163">
        <w:t xml:space="preserve">id resource, </w:t>
      </w:r>
      <w:r w:rsidR="0044537E">
        <w:t xml:space="preserve">and the </w:t>
      </w:r>
      <w:r w:rsidR="0044537E" w:rsidRPr="00B65163">
        <w:t xml:space="preserve">second is to submit </w:t>
      </w:r>
      <w:r w:rsidR="0044537E">
        <w:t xml:space="preserve">the </w:t>
      </w:r>
      <w:r w:rsidR="0044537E" w:rsidRPr="00092627">
        <w:rPr>
          <w:i/>
        </w:rPr>
        <w:t>showq</w:t>
      </w:r>
      <w:r w:rsidR="0044537E">
        <w:t xml:space="preserve"> </w:t>
      </w:r>
      <w:r w:rsidR="0044537E" w:rsidRPr="00B65163">
        <w:t>co</w:t>
      </w:r>
      <w:r w:rsidR="0044537E" w:rsidRPr="00B65163">
        <w:t>m</w:t>
      </w:r>
      <w:r w:rsidR="0044537E" w:rsidRPr="00B65163">
        <w:t xml:space="preserve">mand. These two jobs and their dependency </w:t>
      </w:r>
      <w:r w:rsidR="0044537E">
        <w:t>are</w:t>
      </w:r>
      <w:r w:rsidR="0044537E" w:rsidRPr="00B65163">
        <w:t xml:space="preserve"> show</w:t>
      </w:r>
      <w:r w:rsidR="0044537E">
        <w:t>n</w:t>
      </w:r>
      <w:r w:rsidR="0044537E" w:rsidRPr="00B65163">
        <w:t xml:space="preserve"> in </w:t>
      </w:r>
      <w:r w:rsidR="0044537E">
        <w:t>Table 1</w:t>
      </w:r>
      <w:r w:rsidR="0044537E" w:rsidRPr="00B65163">
        <w:t>.</w:t>
      </w:r>
      <w:r w:rsidR="0044537E">
        <w:t xml:space="preserve">  Note resulting output data must still be formatted for display.</w:t>
      </w:r>
    </w:p>
    <w:tbl>
      <w:tblPr>
        <w:tblpPr w:leftFromText="180" w:rightFromText="180" w:vertAnchor="text" w:horzAnchor="margin" w:tblpX="108" w:tblpY="402"/>
        <w:tblW w:w="10278" w:type="dxa"/>
        <w:shd w:val="clear" w:color="auto" w:fill="E0E0E0"/>
        <w:tblLook w:val="01E0"/>
      </w:tblPr>
      <w:tblGrid>
        <w:gridCol w:w="10278"/>
      </w:tblGrid>
      <w:tr w:rsidR="003070D7" w:rsidRPr="00764DFD" w:rsidTr="00B510DE">
        <w:trPr>
          <w:trHeight w:val="4405"/>
        </w:trPr>
        <w:tc>
          <w:tcPr>
            <w:tcW w:w="10278" w:type="dxa"/>
            <w:shd w:val="clear" w:color="auto" w:fill="E0E0E0"/>
          </w:tcPr>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&lt;</w:t>
            </w:r>
            <w:r w:rsidRPr="008C466B">
              <w:rPr>
                <w:rFonts w:ascii="Courier New" w:hAnsi="Courier New" w:cs="Courier New"/>
                <w:b/>
                <w:sz w:val="18"/>
                <w:szCs w:val="18"/>
              </w:rPr>
              <w:t>o:submit</w:t>
            </w:r>
            <w:r w:rsidRPr="008C466B">
              <w:rPr>
                <w:rFonts w:ascii="Courier New" w:hAnsi="Courier New" w:cs="Courier New"/>
                <w:sz w:val="18"/>
                <w:szCs w:val="18"/>
              </w:rPr>
              <w:t xml:space="preserve"> id=”track” action=”list_page” /&gt;         </w:t>
            </w:r>
          </w:p>
          <w:p w:rsidR="003070D7" w:rsidRPr="008C466B" w:rsidRDefault="00A90F13" w:rsidP="00B510DE">
            <w:pPr>
              <w:ind w:firstLine="720"/>
              <w:rPr>
                <w:rFonts w:ascii="Courier New" w:hAnsi="Courier New" w:cs="Courier New"/>
                <w:sz w:val="18"/>
                <w:szCs w:val="18"/>
              </w:rPr>
            </w:pPr>
            <w:r>
              <w:rPr>
                <w:rFonts w:ascii="Courier New" w:hAnsi="Courier New" w:cs="Courier New"/>
                <w:noProof/>
                <w:sz w:val="18"/>
                <w:szCs w:val="18"/>
              </w:rPr>
              <w:pict>
                <v:shape id="_x0000_s1142" type="#_x0000_t202" style="position:absolute;left:0;text-align:left;margin-left:172.05pt;margin-top:26.7pt;width:1in;height:1in;z-index:251661312" filled="f" fillcolor="black" stroked="f">
                  <v:textbox style="mso-next-textbox:#_x0000_s1142">
                    <w:txbxContent>
                      <w:p w:rsidR="00B25DBB" w:rsidRDefault="00B25DBB" w:rsidP="003070D7"/>
                    </w:txbxContent>
                  </v:textbox>
                </v:shape>
              </w:pict>
            </w:r>
            <w:r w:rsidR="003070D7" w:rsidRPr="008C466B">
              <w:rPr>
                <w:rFonts w:ascii="Courier New" w:hAnsi="Courier New" w:cs="Courier New"/>
                <w:sz w:val="18"/>
                <w:szCs w:val="18"/>
              </w:rPr>
              <w:t xml:space="preserve">  &lt;</w:t>
            </w:r>
            <w:r w:rsidR="003070D7" w:rsidRPr="008C466B">
              <w:rPr>
                <w:rFonts w:ascii="Courier New" w:hAnsi="Courier New" w:cs="Courier New"/>
                <w:b/>
                <w:sz w:val="18"/>
                <w:szCs w:val="18"/>
              </w:rPr>
              <w:t>o:multitask</w:t>
            </w:r>
            <w:r w:rsidR="003070D7" w:rsidRPr="008C466B">
              <w:rPr>
                <w:rFonts w:ascii="Courier New" w:hAnsi="Courier New" w:cs="Courier New"/>
                <w:sz w:val="18"/>
                <w:szCs w:val="18"/>
              </w:rPr>
              <w:t xml:space="preserve"> id=”dashboard” taskname=”track” persistent=”true” &gt;</w:t>
            </w:r>
          </w:p>
          <w:p w:rsidR="00FF48E8" w:rsidRDefault="003070D7" w:rsidP="00B510DE">
            <w:pPr>
              <w:rPr>
                <w:rFonts w:ascii="Courier New" w:hAnsi="Courier New" w:cs="Courier New"/>
                <w:sz w:val="18"/>
                <w:szCs w:val="18"/>
              </w:rPr>
            </w:pPr>
            <w:r w:rsidRPr="008C466B">
              <w:rPr>
                <w:rFonts w:ascii="Courier New" w:hAnsi="Courier New" w:cs="Courier New"/>
                <w:sz w:val="18"/>
                <w:szCs w:val="18"/>
              </w:rPr>
              <w:t xml:space="preserve">            &lt;</w:t>
            </w:r>
            <w:r w:rsidRPr="008C466B">
              <w:rPr>
                <w:rFonts w:ascii="Courier New" w:hAnsi="Courier New" w:cs="Courier New"/>
                <w:b/>
                <w:sz w:val="18"/>
                <w:szCs w:val="18"/>
              </w:rPr>
              <w:t>o:myproxy</w:t>
            </w:r>
            <w:r w:rsidRPr="008C466B">
              <w:rPr>
                <w:rFonts w:ascii="Courier New" w:hAnsi="Courier New" w:cs="Courier New"/>
                <w:sz w:val="18"/>
                <w:szCs w:val="18"/>
              </w:rPr>
              <w:t xml:space="preserve"> id=”proxy” hostname=”gf1.ucs.indiana.edu”     </w:t>
            </w:r>
            <w:r w:rsidR="00FF48E8">
              <w:rPr>
                <w:rFonts w:ascii="Courier New" w:hAnsi="Courier New" w:cs="Courier New"/>
                <w:sz w:val="18"/>
                <w:szCs w:val="18"/>
              </w:rPr>
              <w:t xml:space="preserve">   </w:t>
            </w:r>
            <w:r w:rsidRPr="008C466B">
              <w:rPr>
                <w:rFonts w:ascii="Courier New" w:hAnsi="Courier New" w:cs="Courier New"/>
                <w:sz w:val="18"/>
                <w:szCs w:val="18"/>
              </w:rPr>
              <w:t xml:space="preserve">lifetime=”2” </w:t>
            </w:r>
          </w:p>
          <w:p w:rsidR="003070D7" w:rsidRPr="008C466B" w:rsidRDefault="00FF48E8" w:rsidP="00B510DE">
            <w:pPr>
              <w:rPr>
                <w:rFonts w:ascii="Courier New" w:hAnsi="Courier New" w:cs="Courier New"/>
                <w:sz w:val="18"/>
                <w:szCs w:val="18"/>
              </w:rPr>
            </w:pPr>
            <w:r>
              <w:rPr>
                <w:rFonts w:ascii="Courier New" w:hAnsi="Courier New" w:cs="Courier New"/>
                <w:sz w:val="18"/>
                <w:szCs w:val="18"/>
              </w:rPr>
              <w:t xml:space="preserve">                        </w:t>
            </w:r>
            <w:r w:rsidR="003070D7" w:rsidRPr="008C466B">
              <w:rPr>
                <w:rFonts w:ascii="Courier New" w:hAnsi="Courier New" w:cs="Courier New"/>
                <w:sz w:val="18"/>
                <w:szCs w:val="18"/>
              </w:rPr>
              <w:t>username=”</w:t>
            </w:r>
            <w:r>
              <w:rPr>
                <w:rFonts w:ascii="Courier New" w:hAnsi="Courier New" w:cs="Courier New"/>
                <w:sz w:val="18"/>
                <w:szCs w:val="18"/>
              </w:rPr>
              <w:t>#{resource.username}</w:t>
            </w:r>
            <w:r w:rsidR="003070D7" w:rsidRPr="008C466B">
              <w:rPr>
                <w:rFonts w:ascii="Courier New" w:hAnsi="Courier New" w:cs="Courier New"/>
                <w:sz w:val="18"/>
                <w:szCs w:val="18"/>
              </w:rPr>
              <w:t>” password=”</w:t>
            </w:r>
            <w:r w:rsidR="00B35AB8">
              <w:rPr>
                <w:rFonts w:ascii="Courier New" w:hAnsi="Courier New" w:cs="Courier New"/>
                <w:sz w:val="18"/>
                <w:szCs w:val="18"/>
              </w:rPr>
              <w:t>#{resource.password}</w:t>
            </w:r>
            <w:r w:rsidR="003070D7" w:rsidRPr="008C466B">
              <w:rPr>
                <w:rFonts w:ascii="Courier New" w:hAnsi="Courier New" w:cs="Courier New"/>
                <w:sz w:val="18"/>
                <w:szCs w:val="18"/>
              </w:rPr>
              <w:t>” /&gt;</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&lt;</w:t>
            </w:r>
            <w:r w:rsidRPr="008C466B">
              <w:rPr>
                <w:rFonts w:ascii="Courier New" w:hAnsi="Courier New" w:cs="Courier New"/>
                <w:b/>
                <w:sz w:val="18"/>
                <w:szCs w:val="18"/>
              </w:rPr>
              <w:t>o:jobsubmit</w:t>
            </w:r>
            <w:r w:rsidRPr="008C466B">
              <w:rPr>
                <w:rFonts w:ascii="Courier New" w:hAnsi="Courier New" w:cs="Courier New"/>
                <w:sz w:val="18"/>
                <w:szCs w:val="18"/>
              </w:rPr>
              <w:t xml:space="preserve"> id=”jobA” hostname=”cobalt.ncsa.teragrid.org”</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provider=”GT4” executable=”/bin/whoami”</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stdout=”tmp/result” </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stderr=”tmp/error” /&gt;</w:t>
            </w:r>
          </w:p>
          <w:p w:rsidR="003070D7" w:rsidRPr="008C466B" w:rsidRDefault="003070D7" w:rsidP="00B510DE">
            <w:pPr>
              <w:rPr>
                <w:rFonts w:cs="Verdana"/>
                <w:sz w:val="18"/>
                <w:szCs w:val="18"/>
              </w:rPr>
            </w:pPr>
          </w:p>
          <w:p w:rsidR="003070D7" w:rsidRPr="008C466B" w:rsidRDefault="003070D7" w:rsidP="00B510DE">
            <w:pPr>
              <w:ind w:left="720"/>
              <w:rPr>
                <w:rFonts w:ascii="Courier New" w:hAnsi="Courier New" w:cs="Courier New"/>
                <w:sz w:val="18"/>
                <w:szCs w:val="18"/>
              </w:rPr>
            </w:pPr>
            <w:r w:rsidRPr="008C466B">
              <w:rPr>
                <w:rFonts w:ascii="Courier New" w:hAnsi="Courier New" w:cs="Courier New"/>
                <w:sz w:val="18"/>
                <w:szCs w:val="18"/>
              </w:rPr>
              <w:t xml:space="preserve">     &lt;</w:t>
            </w:r>
            <w:r w:rsidRPr="008C466B">
              <w:rPr>
                <w:rFonts w:ascii="Courier New" w:hAnsi="Courier New" w:cs="Courier New"/>
                <w:b/>
                <w:sz w:val="18"/>
                <w:szCs w:val="18"/>
              </w:rPr>
              <w:t>o:jobsubmit</w:t>
            </w:r>
            <w:r w:rsidRPr="008C466B">
              <w:rPr>
                <w:rFonts w:ascii="Courier New" w:hAnsi="Courier New" w:cs="Courier New"/>
                <w:sz w:val="18"/>
                <w:szCs w:val="18"/>
              </w:rPr>
              <w:t xml:space="preserve"> id=”jobB” hostname=”cobalt.ncsa.teragrid.org”</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provider=”GT4” executable=”/bin/showq”</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stdin=”tmp/result” stdout=”tmp/list” </w:t>
            </w: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stderr=”tmp/error” /&gt;</w:t>
            </w:r>
          </w:p>
          <w:p w:rsidR="003070D7" w:rsidRPr="008C466B" w:rsidRDefault="003070D7" w:rsidP="00B510DE">
            <w:pPr>
              <w:rPr>
                <w:rFonts w:cs="Verdana"/>
                <w:sz w:val="18"/>
                <w:szCs w:val="18"/>
              </w:rPr>
            </w:pPr>
          </w:p>
          <w:p w:rsidR="003070D7" w:rsidRPr="008C466B" w:rsidRDefault="003070D7" w:rsidP="00B510DE">
            <w:pPr>
              <w:rPr>
                <w:rFonts w:ascii="Courier New" w:hAnsi="Courier New" w:cs="Courier New"/>
                <w:sz w:val="18"/>
                <w:szCs w:val="18"/>
              </w:rPr>
            </w:pPr>
            <w:r w:rsidRPr="008C466B">
              <w:rPr>
                <w:rFonts w:ascii="Courier New" w:hAnsi="Courier New" w:cs="Courier New"/>
                <w:sz w:val="18"/>
                <w:szCs w:val="18"/>
              </w:rPr>
              <w:t xml:space="preserve">            &lt;</w:t>
            </w:r>
            <w:r w:rsidRPr="008C466B">
              <w:rPr>
                <w:rFonts w:ascii="Courier New" w:hAnsi="Courier New" w:cs="Courier New"/>
                <w:b/>
                <w:sz w:val="18"/>
                <w:szCs w:val="18"/>
              </w:rPr>
              <w:t>o:dependency</w:t>
            </w:r>
            <w:r w:rsidRPr="008C466B">
              <w:rPr>
                <w:rFonts w:ascii="Courier New" w:hAnsi="Courier New" w:cs="Courier New"/>
                <w:sz w:val="18"/>
                <w:szCs w:val="18"/>
              </w:rPr>
              <w:t xml:space="preserve"> id=”depend” task=”jobB” dependsOn=”jobA” /&gt;</w:t>
            </w:r>
          </w:p>
          <w:p w:rsidR="003070D7" w:rsidRPr="008C466B" w:rsidRDefault="003070D7" w:rsidP="00B510DE">
            <w:pPr>
              <w:tabs>
                <w:tab w:val="left" w:pos="6210"/>
              </w:tabs>
              <w:rPr>
                <w:rFonts w:ascii="Courier New" w:hAnsi="Courier New" w:cs="Courier New"/>
                <w:sz w:val="18"/>
                <w:szCs w:val="18"/>
              </w:rPr>
            </w:pPr>
            <w:r w:rsidRPr="008C466B">
              <w:rPr>
                <w:rFonts w:ascii="Courier New" w:hAnsi="Courier New" w:cs="Courier New"/>
                <w:sz w:val="18"/>
                <w:szCs w:val="18"/>
              </w:rPr>
              <w:tab/>
            </w:r>
          </w:p>
          <w:p w:rsidR="003070D7" w:rsidRPr="008C466B" w:rsidRDefault="00CA4483" w:rsidP="00B510DE">
            <w:pPr>
              <w:rPr>
                <w:rFonts w:ascii="Courier New" w:hAnsi="Courier New" w:cs="Courier New"/>
                <w:sz w:val="18"/>
                <w:szCs w:val="18"/>
              </w:rPr>
            </w:pPr>
            <w:r>
              <w:rPr>
                <w:rFonts w:ascii="Courier New" w:hAnsi="Courier New" w:cs="Courier New"/>
                <w:sz w:val="18"/>
                <w:szCs w:val="18"/>
              </w:rPr>
              <w:t xml:space="preserve">       </w:t>
            </w:r>
            <w:r w:rsidR="003070D7" w:rsidRPr="008C466B">
              <w:rPr>
                <w:rFonts w:ascii="Courier New" w:hAnsi="Courier New" w:cs="Courier New"/>
                <w:sz w:val="18"/>
                <w:szCs w:val="18"/>
              </w:rPr>
              <w:t>&lt;</w:t>
            </w:r>
            <w:r w:rsidR="003070D7" w:rsidRPr="008C466B">
              <w:rPr>
                <w:rFonts w:ascii="Courier New" w:hAnsi="Courier New" w:cs="Courier New"/>
                <w:b/>
                <w:sz w:val="18"/>
                <w:szCs w:val="18"/>
              </w:rPr>
              <w:t>/o:multitask</w:t>
            </w:r>
            <w:r w:rsidR="003070D7" w:rsidRPr="008C466B">
              <w:rPr>
                <w:rFonts w:ascii="Courier New" w:hAnsi="Courier New" w:cs="Courier New"/>
                <w:sz w:val="18"/>
                <w:szCs w:val="18"/>
              </w:rPr>
              <w:t>&gt;</w:t>
            </w:r>
          </w:p>
          <w:p w:rsidR="003070D7" w:rsidRPr="008C466B" w:rsidRDefault="003070D7" w:rsidP="00B510DE">
            <w:pPr>
              <w:pStyle w:val="BodyText"/>
              <w:rPr>
                <w:rFonts w:ascii="Times New Roman" w:hAnsi="Times New Roman" w:cs="Times New Roman"/>
                <w:sz w:val="18"/>
                <w:szCs w:val="18"/>
              </w:rPr>
            </w:pPr>
            <w:r w:rsidRPr="008C466B">
              <w:rPr>
                <w:rFonts w:ascii="Courier New" w:hAnsi="Courier New" w:cs="Courier New"/>
                <w:sz w:val="18"/>
                <w:szCs w:val="18"/>
              </w:rPr>
              <w:t>&lt;</w:t>
            </w:r>
            <w:r w:rsidRPr="008C466B">
              <w:rPr>
                <w:rFonts w:ascii="Courier New" w:hAnsi="Courier New" w:cs="Courier New"/>
                <w:b/>
                <w:sz w:val="18"/>
                <w:szCs w:val="18"/>
              </w:rPr>
              <w:t>/o:submit</w:t>
            </w:r>
            <w:r w:rsidRPr="008C466B">
              <w:rPr>
                <w:rFonts w:ascii="Courier New" w:hAnsi="Courier New" w:cs="Courier New"/>
                <w:sz w:val="18"/>
                <w:szCs w:val="18"/>
              </w:rPr>
              <w:t>&gt;</w:t>
            </w:r>
          </w:p>
        </w:tc>
      </w:tr>
      <w:tr w:rsidR="00FF48E8" w:rsidRPr="00764DFD" w:rsidTr="003120BC">
        <w:trPr>
          <w:trHeight w:val="454"/>
        </w:trPr>
        <w:tc>
          <w:tcPr>
            <w:tcW w:w="9990" w:type="dxa"/>
            <w:shd w:val="clear" w:color="auto" w:fill="auto"/>
          </w:tcPr>
          <w:p w:rsidR="00FF48E8" w:rsidRPr="00787606" w:rsidRDefault="00B510DE" w:rsidP="00B510DE">
            <w:pPr>
              <w:ind w:firstLine="0"/>
              <w:jc w:val="center"/>
              <w:rPr>
                <w:rFonts w:ascii="Arial" w:hAnsi="Arial" w:cs="Arial"/>
                <w:sz w:val="16"/>
                <w:szCs w:val="16"/>
              </w:rPr>
            </w:pPr>
            <w:r w:rsidRPr="00787606">
              <w:rPr>
                <w:rFonts w:ascii="Arial" w:hAnsi="Arial" w:cs="Arial"/>
                <w:b/>
                <w:sz w:val="16"/>
                <w:szCs w:val="16"/>
              </w:rPr>
              <w:t xml:space="preserve">Table </w:t>
            </w:r>
            <w:r w:rsidR="00A90F13" w:rsidRPr="00787606">
              <w:rPr>
                <w:rFonts w:ascii="Arial" w:hAnsi="Arial" w:cs="Arial"/>
                <w:b/>
                <w:sz w:val="16"/>
                <w:szCs w:val="16"/>
              </w:rPr>
              <w:fldChar w:fldCharType="begin"/>
            </w:r>
            <w:r w:rsidRPr="00787606">
              <w:rPr>
                <w:rFonts w:ascii="Arial" w:hAnsi="Arial" w:cs="Arial"/>
                <w:b/>
                <w:sz w:val="16"/>
                <w:szCs w:val="16"/>
              </w:rPr>
              <w:instrText xml:space="preserve"> SEQ Table \* ARABIC </w:instrText>
            </w:r>
            <w:r w:rsidR="00A90F13" w:rsidRPr="00787606">
              <w:rPr>
                <w:rFonts w:ascii="Arial" w:hAnsi="Arial" w:cs="Arial"/>
                <w:b/>
                <w:sz w:val="16"/>
                <w:szCs w:val="16"/>
              </w:rPr>
              <w:fldChar w:fldCharType="separate"/>
            </w:r>
            <w:r w:rsidR="00FE3B71">
              <w:rPr>
                <w:rFonts w:ascii="Arial" w:hAnsi="Arial" w:cs="Arial"/>
                <w:b/>
                <w:noProof/>
                <w:sz w:val="16"/>
                <w:szCs w:val="16"/>
              </w:rPr>
              <w:t>1</w:t>
            </w:r>
            <w:r w:rsidR="00A90F13" w:rsidRPr="00787606">
              <w:rPr>
                <w:rFonts w:ascii="Arial" w:hAnsi="Arial" w:cs="Arial"/>
                <w:b/>
                <w:sz w:val="16"/>
                <w:szCs w:val="16"/>
              </w:rPr>
              <w:fldChar w:fldCharType="end"/>
            </w:r>
            <w:r w:rsidRPr="00787606">
              <w:rPr>
                <w:rFonts w:ascii="Arial" w:hAnsi="Arial" w:cs="Arial"/>
                <w:sz w:val="16"/>
                <w:szCs w:val="16"/>
              </w:rPr>
              <w:t xml:space="preserve"> GTLAB example for creating Grid portlets to collect data for the dashboard portlet.</w:t>
            </w:r>
          </w:p>
        </w:tc>
      </w:tr>
    </w:tbl>
    <w:p w:rsidR="00092627" w:rsidRDefault="00CA4483" w:rsidP="002234E1">
      <w:r>
        <w:t>To generalize this portlet, we</w:t>
      </w:r>
      <w:r w:rsidR="002234E1">
        <w:t xml:space="preserve"> will need to </w:t>
      </w:r>
      <w:r w:rsidR="00B02E15">
        <w:t>associate tag attributes with</w:t>
      </w:r>
      <w:r w:rsidR="002234E1">
        <w:t xml:space="preserve"> information </w:t>
      </w:r>
      <w:r w:rsidR="00B02E15">
        <w:t xml:space="preserve">collected </w:t>
      </w:r>
      <w:r w:rsidR="002234E1">
        <w:t>from the user.  These inputs (i.e., the specific computer</w:t>
      </w:r>
      <w:r w:rsidR="00B02E15">
        <w:t xml:space="preserve"> hostname</w:t>
      </w:r>
      <w:r w:rsidR="002234E1">
        <w:t xml:space="preserve"> to use or the name of the task) correspond to </w:t>
      </w:r>
      <w:r w:rsidR="00092627">
        <w:t xml:space="preserve">XML tag </w:t>
      </w:r>
      <w:r w:rsidR="002234E1" w:rsidRPr="00B65163">
        <w:t xml:space="preserve">attribute fields with dynamic parameters. In other words, attribute values should be </w:t>
      </w:r>
      <w:r w:rsidR="00092627">
        <w:t>supplied</w:t>
      </w:r>
      <w:r w:rsidR="00092627" w:rsidRPr="00B65163">
        <w:t xml:space="preserve"> </w:t>
      </w:r>
      <w:r w:rsidR="002234E1" w:rsidRPr="00B65163">
        <w:t xml:space="preserve">by </w:t>
      </w:r>
      <w:r w:rsidR="00B02E15">
        <w:t xml:space="preserve">the </w:t>
      </w:r>
      <w:r w:rsidR="002234E1" w:rsidRPr="00B65163">
        <w:t>user in a dynamic web user i</w:t>
      </w:r>
      <w:r w:rsidR="002234E1" w:rsidRPr="00B65163">
        <w:t>n</w:t>
      </w:r>
      <w:r w:rsidR="002234E1" w:rsidRPr="00B65163">
        <w:t xml:space="preserve">terface. </w:t>
      </w:r>
      <w:r w:rsidR="00092627">
        <w:t>W</w:t>
      </w:r>
      <w:r w:rsidR="002234E1" w:rsidRPr="00B65163">
        <w:t xml:space="preserve">e have defined </w:t>
      </w:r>
      <w:r w:rsidR="002234E1" w:rsidRPr="006836AC">
        <w:rPr>
          <w:i/>
        </w:rPr>
        <w:t>resource</w:t>
      </w:r>
      <w:r w:rsidR="002234E1" w:rsidRPr="00B65163">
        <w:t xml:space="preserve"> bean</w:t>
      </w:r>
      <w:r w:rsidR="00092627">
        <w:t xml:space="preserve"> to manage these specific user inputs</w:t>
      </w:r>
      <w:r w:rsidR="002234E1" w:rsidRPr="00B65163">
        <w:t xml:space="preserve">. </w:t>
      </w:r>
      <w:r w:rsidR="00092627">
        <w:t>The r</w:t>
      </w:r>
      <w:r w:rsidR="002234E1" w:rsidRPr="00B65163">
        <w:t>esource bean represent</w:t>
      </w:r>
      <w:r w:rsidR="00092627">
        <w:t>s</w:t>
      </w:r>
      <w:r w:rsidR="002234E1" w:rsidRPr="00B65163">
        <w:t xml:space="preserve"> all pro</w:t>
      </w:r>
      <w:r w:rsidR="002234E1" w:rsidRPr="00B65163">
        <w:t>p</w:t>
      </w:r>
      <w:r w:rsidR="002234E1" w:rsidRPr="00B65163">
        <w:t xml:space="preserve">erties of the </w:t>
      </w:r>
      <w:r w:rsidR="00B02E15">
        <w:t xml:space="preserve">GTLAB </w:t>
      </w:r>
      <w:r w:rsidR="002234E1" w:rsidRPr="00B65163">
        <w:t xml:space="preserve">tags </w:t>
      </w:r>
      <w:r w:rsidR="00B02E15">
        <w:t xml:space="preserve">and supplies </w:t>
      </w:r>
      <w:r w:rsidR="002234E1" w:rsidRPr="00B65163">
        <w:t xml:space="preserve">default values. </w:t>
      </w:r>
      <w:r w:rsidR="002234E1">
        <w:t>The a</w:t>
      </w:r>
      <w:r w:rsidR="002234E1" w:rsidRPr="00B65163">
        <w:t>pplication programmer has to tie the user inputs with co</w:t>
      </w:r>
      <w:r w:rsidR="002234E1" w:rsidRPr="00B65163">
        <w:t>r</w:t>
      </w:r>
      <w:r w:rsidR="002234E1" w:rsidRPr="00B65163">
        <w:t>responding property using resource bean</w:t>
      </w:r>
      <w:r w:rsidR="002234E1">
        <w:t xml:space="preserve"> as follows:</w:t>
      </w:r>
    </w:p>
    <w:p w:rsidR="00092627" w:rsidRPr="00092627" w:rsidRDefault="00E43EEA" w:rsidP="00092627">
      <w:pPr>
        <w:jc w:val="left"/>
        <w:rPr>
          <w:b/>
          <w:i/>
        </w:rPr>
      </w:pPr>
      <w:r w:rsidRPr="00E43EEA">
        <w:rPr>
          <w:i/>
        </w:rPr>
        <w:lastRenderedPageBreak/>
        <w:t>&lt;h:outputText value="Taskname: "/&gt;</w:t>
      </w:r>
      <w:r w:rsidRPr="00E43EEA">
        <w:rPr>
          <w:i/>
        </w:rPr>
        <w:br/>
        <w:t>   &lt;h:inputText value=</w:t>
      </w:r>
      <w:r w:rsidR="00092627" w:rsidRPr="00092627">
        <w:rPr>
          <w:i/>
        </w:rPr>
        <w:t xml:space="preserve">"#{resource.taskname}" </w:t>
      </w:r>
      <w:r w:rsidRPr="00E43EEA">
        <w:rPr>
          <w:i/>
        </w:rPr>
        <w:t>/&gt;</w:t>
      </w:r>
      <w:r w:rsidRPr="00E43EEA">
        <w:rPr>
          <w:i/>
        </w:rPr>
        <w:br/>
        <w:t>   &lt;o:multitask id="multi" persi</w:t>
      </w:r>
      <w:r w:rsidR="00FF1BE8">
        <w:rPr>
          <w:i/>
        </w:rPr>
        <w:t>s</w:t>
      </w:r>
      <w:r w:rsidRPr="00E43EEA">
        <w:rPr>
          <w:i/>
        </w:rPr>
        <w:t>tent="true" task</w:t>
      </w:r>
      <w:r w:rsidRPr="00E43EEA">
        <w:rPr>
          <w:i/>
        </w:rPr>
        <w:tab/>
        <w:t>name=</w:t>
      </w:r>
      <w:r w:rsidR="00092627" w:rsidRPr="00092627">
        <w:rPr>
          <w:i/>
        </w:rPr>
        <w:t>"#{resource.taskname}" /</w:t>
      </w:r>
      <w:r w:rsidRPr="00E43EEA">
        <w:rPr>
          <w:i/>
        </w:rPr>
        <w:t>&gt;</w:t>
      </w:r>
    </w:p>
    <w:p w:rsidR="0044537E" w:rsidRDefault="00092627" w:rsidP="002234E1">
      <w:r>
        <w:t xml:space="preserve">Here, </w:t>
      </w:r>
      <w:r w:rsidR="00E43EEA" w:rsidRPr="00E43EEA">
        <w:rPr>
          <w:i/>
        </w:rPr>
        <w:t>&lt;</w:t>
      </w:r>
      <w:r w:rsidR="00FF1BE8">
        <w:rPr>
          <w:i/>
        </w:rPr>
        <w:t>h:</w:t>
      </w:r>
      <w:r w:rsidR="00E43EEA" w:rsidRPr="00E43EEA">
        <w:rPr>
          <w:i/>
        </w:rPr>
        <w:t>outputText&gt;</w:t>
      </w:r>
      <w:r>
        <w:t xml:space="preserve"> and </w:t>
      </w:r>
      <w:r w:rsidR="00E43EEA" w:rsidRPr="00E43EEA">
        <w:rPr>
          <w:i/>
        </w:rPr>
        <w:t>&lt;</w:t>
      </w:r>
      <w:r w:rsidR="00FF1BE8">
        <w:rPr>
          <w:i/>
        </w:rPr>
        <w:t>h:</w:t>
      </w:r>
      <w:r w:rsidR="00E43EEA" w:rsidRPr="00E43EEA">
        <w:rPr>
          <w:i/>
        </w:rPr>
        <w:t xml:space="preserve">inputText&gt; </w:t>
      </w:r>
      <w:r>
        <w:t>are standard JSF tags that are rendered as text and input text fields, respe</w:t>
      </w:r>
      <w:r>
        <w:t>c</w:t>
      </w:r>
      <w:r>
        <w:t xml:space="preserve">tively.  </w:t>
      </w:r>
      <w:r w:rsidR="00B02E15">
        <w:t xml:space="preserve">The attribute value </w:t>
      </w:r>
      <w:r w:rsidR="00E43EEA" w:rsidRPr="00E43EEA">
        <w:rPr>
          <w:i/>
        </w:rPr>
        <w:t>#{resource.taskname}</w:t>
      </w:r>
      <w:r w:rsidR="00B02E15">
        <w:t xml:space="preserve"> uses JSF’s Expression Language (EL) syntax.  </w:t>
      </w:r>
      <w:r>
        <w:t xml:space="preserve">The user will be prompted to provide a name for the particular task, which will also be used by GTLAB’s </w:t>
      </w:r>
      <w:r w:rsidR="00E43EEA" w:rsidRPr="00E43EEA">
        <w:rPr>
          <w:i/>
        </w:rPr>
        <w:t>&lt;multitask&gt;</w:t>
      </w:r>
      <w:r>
        <w:t xml:space="preserve"> tag as the value for its </w:t>
      </w:r>
      <w:r w:rsidR="00E43EEA" w:rsidRPr="00E43EEA">
        <w:rPr>
          <w:i/>
        </w:rPr>
        <w:t>name</w:t>
      </w:r>
      <w:r>
        <w:t xml:space="preserve"> attribute.</w:t>
      </w:r>
    </w:p>
    <w:p w:rsidR="002234E1" w:rsidRPr="00892898" w:rsidRDefault="002234E1" w:rsidP="002234E1">
      <w:pPr>
        <w:pStyle w:val="Heading2"/>
        <w:rPr>
          <w:rFonts w:ascii="Times New Roman" w:hAnsi="Times New Roman" w:cs="Verdana"/>
          <w:sz w:val="24"/>
          <w:szCs w:val="28"/>
          <w:lang w:eastAsia="ko-KR"/>
        </w:rPr>
      </w:pPr>
      <w:r>
        <w:rPr>
          <w:bCs/>
          <w:color w:val="000000"/>
        </w:rPr>
        <w:t>3.3</w:t>
      </w:r>
      <w:r w:rsidRPr="00711741">
        <w:rPr>
          <w:bCs/>
          <w:color w:val="000000"/>
        </w:rPr>
        <w:t xml:space="preserve"> </w:t>
      </w:r>
      <w:r w:rsidRPr="00B65163">
        <w:t>Tracking</w:t>
      </w:r>
      <w:r>
        <w:t xml:space="preserve"> and Managing J</w:t>
      </w:r>
      <w:r w:rsidRPr="00B65163">
        <w:t>obs with GTLAB</w:t>
      </w:r>
    </w:p>
    <w:p w:rsidR="002234E1" w:rsidRDefault="002234E1" w:rsidP="002234E1">
      <w:r w:rsidRPr="00B65163">
        <w:t xml:space="preserve">Grid applications </w:t>
      </w:r>
      <w:r>
        <w:t>typically</w:t>
      </w:r>
      <w:r w:rsidRPr="00B65163">
        <w:t xml:space="preserve"> </w:t>
      </w:r>
      <w:r>
        <w:t xml:space="preserve">must submit jobs to </w:t>
      </w:r>
      <w:r w:rsidRPr="00B65163">
        <w:t>batch queues</w:t>
      </w:r>
      <w:r>
        <w:t>, and e</w:t>
      </w:r>
      <w:r w:rsidRPr="00B65163">
        <w:t>ven interactive jobs</w:t>
      </w:r>
      <w:r>
        <w:t xml:space="preserve"> may </w:t>
      </w:r>
      <w:r w:rsidRPr="00B65163">
        <w:t>take a</w:t>
      </w:r>
      <w:r>
        <w:t xml:space="preserve"> several</w:t>
      </w:r>
      <w:r w:rsidRPr="00B65163">
        <w:t xml:space="preserve"> m</w:t>
      </w:r>
      <w:r w:rsidRPr="00B65163">
        <w:t>i</w:t>
      </w:r>
      <w:r w:rsidRPr="00B65163">
        <w:t>nutes to finish</w:t>
      </w:r>
      <w:r>
        <w:t>.  Thus we must provide a callback system that lets jobs run while allowing the portal to return control to the user</w:t>
      </w:r>
      <w:r w:rsidRPr="00B65163">
        <w:t>.</w:t>
      </w:r>
      <w:r>
        <w:t xml:space="preserve">  Thus the GTLAB tags </w:t>
      </w:r>
      <w:r w:rsidRPr="00B65163">
        <w:t xml:space="preserve">need to track </w:t>
      </w:r>
      <w:r>
        <w:t xml:space="preserve">the </w:t>
      </w:r>
      <w:r w:rsidRPr="00B65163">
        <w:t>job</w:t>
      </w:r>
      <w:r>
        <w:t>s’</w:t>
      </w:r>
      <w:r w:rsidRPr="00B65163">
        <w:t xml:space="preserve"> lifecycle and monitor their status</w:t>
      </w:r>
      <w:r>
        <w:t>, displaying this inform</w:t>
      </w:r>
      <w:r>
        <w:t>a</w:t>
      </w:r>
      <w:r>
        <w:t>tion back to the user</w:t>
      </w:r>
      <w:r w:rsidRPr="00B65163">
        <w:t xml:space="preserve">. </w:t>
      </w:r>
    </w:p>
    <w:p w:rsidR="002234E1" w:rsidRDefault="002234E1" w:rsidP="002234E1">
      <w:r w:rsidRPr="00B65163">
        <w:t>GTLAB creates a handler for every submitted job</w:t>
      </w:r>
      <w:r>
        <w:t xml:space="preserve"> and displays status information using JSF </w:t>
      </w:r>
      <w:r w:rsidRPr="00B65163">
        <w:t>data tables</w:t>
      </w:r>
      <w:r>
        <w:t xml:space="preserve"> (which are rendered as HTML tables for display)</w:t>
      </w:r>
      <w:r w:rsidRPr="00B65163">
        <w:t xml:space="preserve">. </w:t>
      </w:r>
      <w:r>
        <w:t>These d</w:t>
      </w:r>
      <w:r w:rsidRPr="00B65163">
        <w:t xml:space="preserve">ata tables are fed by job handlers </w:t>
      </w:r>
      <w:r>
        <w:t xml:space="preserve">that are </w:t>
      </w:r>
      <w:r w:rsidRPr="00B65163">
        <w:t>saved in hash tables within the session. The visual design of the job tracking</w:t>
      </w:r>
      <w:r w:rsidR="00B02E15">
        <w:t>’s display</w:t>
      </w:r>
      <w:r w:rsidRPr="00B65163">
        <w:t xml:space="preserve"> table and filtering on the values are left to </w:t>
      </w:r>
      <w:r w:rsidR="00DA7C63">
        <w:t>the</w:t>
      </w:r>
      <w:r w:rsidRPr="00B65163">
        <w:t xml:space="preserve"> developers. </w:t>
      </w:r>
    </w:p>
    <w:p w:rsidR="002234E1" w:rsidRDefault="002234E1" w:rsidP="002234E1">
      <w:r>
        <w:t>After submission, the GTLAB job handle</w:t>
      </w:r>
      <w:r w:rsidR="00CD4A97">
        <w:t>r</w:t>
      </w:r>
      <w:r>
        <w:t>s can be used</w:t>
      </w:r>
      <w:r w:rsidRPr="00B65163">
        <w:t xml:space="preserve"> to</w:t>
      </w:r>
      <w:r>
        <w:t xml:space="preserve"> manage, stop, or cancel running jobs.  Permanent job ar</w:t>
      </w:r>
      <w:r>
        <w:t>c</w:t>
      </w:r>
      <w:r>
        <w:t>hiving is also tied to job handle</w:t>
      </w:r>
      <w:r w:rsidR="00C34EB3">
        <w:t>r</w:t>
      </w:r>
      <w:r>
        <w:t xml:space="preserve">s. </w:t>
      </w:r>
      <w:r w:rsidRPr="00B65163">
        <w:t>For example, users can keep good samples, remove old jobs or failed jobs</w:t>
      </w:r>
      <w:r>
        <w:t>, and ot</w:t>
      </w:r>
      <w:r>
        <w:t>h</w:t>
      </w:r>
      <w:r>
        <w:t>erwise</w:t>
      </w:r>
      <w:r w:rsidRPr="00B65163">
        <w:t xml:space="preserve"> organize their repository. The job</w:t>
      </w:r>
      <w:r>
        <w:t xml:space="preserve">’s metadata </w:t>
      </w:r>
      <w:r w:rsidRPr="00B65163">
        <w:t>fe</w:t>
      </w:r>
      <w:r w:rsidRPr="00B65163">
        <w:t>a</w:t>
      </w:r>
      <w:r w:rsidRPr="00B65163">
        <w:t xml:space="preserve">tures </w:t>
      </w:r>
      <w:r>
        <w:t>(</w:t>
      </w:r>
      <w:r w:rsidRPr="00B65163">
        <w:t>submit time, status, finish time, output location and input parameters</w:t>
      </w:r>
      <w:r>
        <w:t>) are stored and can also be listed</w:t>
      </w:r>
      <w:r w:rsidRPr="00B65163">
        <w:t xml:space="preserve">. </w:t>
      </w:r>
    </w:p>
    <w:p w:rsidR="001227B6" w:rsidRPr="001227B6" w:rsidRDefault="001227B6" w:rsidP="001227B6">
      <w:pPr>
        <w:autoSpaceDE w:val="0"/>
        <w:autoSpaceDN w:val="0"/>
        <w:adjustRightInd w:val="0"/>
        <w:jc w:val="left"/>
        <w:rPr>
          <w:rFonts w:ascii="Palatino Linotype" w:hAnsi="Palatino Linotype" w:cs="Courier New"/>
          <w:i/>
          <w:color w:val="000000"/>
          <w:szCs w:val="19"/>
        </w:rPr>
      </w:pPr>
      <w:r w:rsidRPr="001227B6">
        <w:rPr>
          <w:rFonts w:ascii="Palatino Linotype" w:hAnsi="Palatino Linotype" w:cs="Courier New"/>
          <w:i/>
          <w:color w:val="000000"/>
          <w:szCs w:val="19"/>
        </w:rPr>
        <w:t>&lt;o:handler id=”delete” action="#{monitor.</w:t>
      </w:r>
      <w:r>
        <w:rPr>
          <w:rFonts w:ascii="Palatino Linotype" w:hAnsi="Palatino Linotype" w:cs="Courier New"/>
          <w:i/>
          <w:color w:val="000000"/>
          <w:szCs w:val="19"/>
        </w:rPr>
        <w:t>delete</w:t>
      </w:r>
      <w:r w:rsidRPr="001227B6">
        <w:rPr>
          <w:rFonts w:ascii="Palatino Linotype" w:hAnsi="Palatino Linotype" w:cs="Courier New"/>
          <w:i/>
          <w:color w:val="000000"/>
          <w:szCs w:val="19"/>
        </w:rPr>
        <w:t xml:space="preserve">}" &gt;          </w:t>
      </w:r>
    </w:p>
    <w:p w:rsidR="001227B6" w:rsidRDefault="001227B6" w:rsidP="001227B6">
      <w:pPr>
        <w:autoSpaceDE w:val="0"/>
        <w:autoSpaceDN w:val="0"/>
        <w:adjustRightInd w:val="0"/>
        <w:jc w:val="left"/>
        <w:rPr>
          <w:rFonts w:ascii="Palatino Linotype" w:hAnsi="Palatino Linotype" w:cs="Courier New"/>
          <w:i/>
          <w:color w:val="000000"/>
          <w:szCs w:val="19"/>
        </w:rPr>
      </w:pPr>
      <w:r w:rsidRPr="001227B6">
        <w:rPr>
          <w:rFonts w:ascii="Palatino Linotype" w:hAnsi="Palatino Linotype" w:cs="Courier New"/>
          <w:i/>
          <w:color w:val="000000"/>
          <w:szCs w:val="19"/>
        </w:rPr>
        <w:t xml:space="preserve">        </w:t>
      </w:r>
      <w:r w:rsidRPr="001227B6">
        <w:rPr>
          <w:rFonts w:ascii="Palatino Linotype" w:hAnsi="Palatino Linotype" w:cs="Courier New"/>
          <w:i/>
          <w:color w:val="000000"/>
          <w:szCs w:val="19"/>
        </w:rPr>
        <w:tab/>
        <w:t xml:space="preserve">&lt;f:param id="task" name="taskname" </w:t>
      </w:r>
    </w:p>
    <w:p w:rsidR="001227B6" w:rsidRPr="001227B6" w:rsidRDefault="001227B6" w:rsidP="001227B6">
      <w:pPr>
        <w:autoSpaceDE w:val="0"/>
        <w:autoSpaceDN w:val="0"/>
        <w:adjustRightInd w:val="0"/>
        <w:jc w:val="left"/>
        <w:rPr>
          <w:rFonts w:ascii="Palatino Linotype" w:hAnsi="Palatino Linotype" w:cs="Courier New"/>
          <w:i/>
          <w:color w:val="000000"/>
          <w:szCs w:val="19"/>
        </w:rPr>
      </w:pPr>
      <w:r>
        <w:rPr>
          <w:rFonts w:ascii="Palatino Linotype" w:hAnsi="Palatino Linotype" w:cs="Courier New"/>
          <w:i/>
          <w:color w:val="000000"/>
          <w:szCs w:val="19"/>
        </w:rPr>
        <w:t xml:space="preserve">                </w:t>
      </w:r>
      <w:r w:rsidRPr="001227B6">
        <w:rPr>
          <w:rFonts w:ascii="Palatino Linotype" w:hAnsi="Palatino Linotype" w:cs="Courier New"/>
          <w:i/>
          <w:color w:val="000000"/>
          <w:szCs w:val="19"/>
        </w:rPr>
        <w:t xml:space="preserve">value="#{task}"/&gt;        </w:t>
      </w:r>
    </w:p>
    <w:p w:rsidR="001227B6" w:rsidRDefault="001227B6" w:rsidP="001227B6">
      <w:pPr>
        <w:rPr>
          <w:rFonts w:ascii="Palatino Linotype" w:hAnsi="Palatino Linotype" w:cs="Courier New"/>
          <w:i/>
          <w:color w:val="000000"/>
          <w:szCs w:val="19"/>
        </w:rPr>
      </w:pPr>
      <w:r w:rsidRPr="001227B6">
        <w:rPr>
          <w:rFonts w:ascii="Palatino Linotype" w:hAnsi="Palatino Linotype" w:cs="Courier New"/>
          <w:i/>
          <w:color w:val="000000"/>
          <w:szCs w:val="19"/>
        </w:rPr>
        <w:t>&lt;/o:handler&gt;</w:t>
      </w:r>
    </w:p>
    <w:p w:rsidR="00DA7C63" w:rsidRDefault="00DA7C63" w:rsidP="001227B6">
      <w:pPr>
        <w:rPr>
          <w:rFonts w:ascii="Palatino Linotype" w:hAnsi="Palatino Linotype" w:cs="Courier New"/>
          <w:i/>
          <w:color w:val="000000"/>
          <w:szCs w:val="19"/>
        </w:rPr>
      </w:pPr>
    </w:p>
    <w:p w:rsidR="001227B6" w:rsidRPr="001227B6" w:rsidRDefault="001227B6" w:rsidP="001227B6">
      <w:pPr>
        <w:rPr>
          <w:rFonts w:ascii="Palatino Linotype" w:hAnsi="Palatino Linotype"/>
          <w:szCs w:val="19"/>
        </w:rPr>
      </w:pPr>
      <w:r>
        <w:rPr>
          <w:rFonts w:ascii="Palatino Linotype" w:hAnsi="Palatino Linotype" w:cs="Courier New"/>
          <w:color w:val="000000"/>
          <w:szCs w:val="19"/>
        </w:rPr>
        <w:lastRenderedPageBreak/>
        <w:t xml:space="preserve">Here, </w:t>
      </w:r>
      <w:r w:rsidRPr="004D3325">
        <w:rPr>
          <w:rFonts w:ascii="Palatino Linotype" w:hAnsi="Palatino Linotype" w:cs="Courier New"/>
          <w:i/>
          <w:color w:val="000000"/>
          <w:szCs w:val="19"/>
        </w:rPr>
        <w:t>&lt;o:handler&gt;</w:t>
      </w:r>
      <w:r>
        <w:rPr>
          <w:rFonts w:ascii="Palatino Linotype" w:hAnsi="Palatino Linotype" w:cs="Courier New"/>
          <w:color w:val="000000"/>
          <w:szCs w:val="19"/>
        </w:rPr>
        <w:t xml:space="preserve"> tag is another visual tag to process job handlers within GTLAB framework using standard JSF data tables. </w:t>
      </w:r>
      <w:r w:rsidR="004D3325" w:rsidRPr="004D3325">
        <w:rPr>
          <w:rFonts w:ascii="Palatino Linotype" w:hAnsi="Palatino Linotype" w:cs="Courier New"/>
          <w:i/>
          <w:color w:val="000000"/>
          <w:szCs w:val="19"/>
        </w:rPr>
        <w:t>&lt;o:handler&gt;</w:t>
      </w:r>
      <w:r w:rsidR="004D3325">
        <w:rPr>
          <w:rFonts w:ascii="Palatino Linotype" w:hAnsi="Palatino Linotype" w:cs="Courier New"/>
          <w:color w:val="000000"/>
          <w:szCs w:val="19"/>
        </w:rPr>
        <w:t xml:space="preserve"> basically submits monitor bean m</w:t>
      </w:r>
      <w:r w:rsidR="004D3325">
        <w:rPr>
          <w:rFonts w:ascii="Palatino Linotype" w:hAnsi="Palatino Linotype" w:cs="Courier New"/>
          <w:color w:val="000000"/>
          <w:szCs w:val="19"/>
        </w:rPr>
        <w:t>e</w:t>
      </w:r>
      <w:r w:rsidR="004D3325">
        <w:rPr>
          <w:rFonts w:ascii="Palatino Linotype" w:hAnsi="Palatino Linotype" w:cs="Courier New"/>
          <w:color w:val="000000"/>
          <w:szCs w:val="19"/>
        </w:rPr>
        <w:t xml:space="preserve">thods to as actions of monitoring. </w:t>
      </w:r>
      <w:r w:rsidRPr="004D3325">
        <w:rPr>
          <w:rFonts w:ascii="Palatino Linotype" w:hAnsi="Palatino Linotype" w:cs="Courier New"/>
          <w:i/>
          <w:color w:val="000000"/>
          <w:szCs w:val="19"/>
        </w:rPr>
        <w:t>&lt;f:param&gt;</w:t>
      </w:r>
      <w:r>
        <w:rPr>
          <w:rFonts w:ascii="Palatino Linotype" w:hAnsi="Palatino Linotype" w:cs="Courier New"/>
          <w:color w:val="000000"/>
          <w:szCs w:val="19"/>
        </w:rPr>
        <w:t xml:space="preserve"> passes </w:t>
      </w:r>
      <w:r w:rsidR="004D3325">
        <w:rPr>
          <w:rFonts w:ascii="Palatino Linotype" w:hAnsi="Palatino Linotype" w:cs="Courier New"/>
          <w:color w:val="000000"/>
          <w:szCs w:val="19"/>
        </w:rPr>
        <w:t>tas</w:t>
      </w:r>
      <w:r w:rsidR="004D3325">
        <w:rPr>
          <w:rFonts w:ascii="Palatino Linotype" w:hAnsi="Palatino Linotype" w:cs="Courier New"/>
          <w:color w:val="000000"/>
          <w:szCs w:val="19"/>
        </w:rPr>
        <w:t>k</w:t>
      </w:r>
      <w:r w:rsidR="004D3325">
        <w:rPr>
          <w:rFonts w:ascii="Palatino Linotype" w:hAnsi="Palatino Linotype" w:cs="Courier New"/>
          <w:color w:val="000000"/>
          <w:szCs w:val="19"/>
        </w:rPr>
        <w:t xml:space="preserve">name </w:t>
      </w:r>
      <w:r>
        <w:rPr>
          <w:rFonts w:ascii="Palatino Linotype" w:hAnsi="Palatino Linotype" w:cs="Courier New"/>
          <w:color w:val="000000"/>
          <w:szCs w:val="19"/>
        </w:rPr>
        <w:t xml:space="preserve">parameter </w:t>
      </w:r>
      <w:r w:rsidR="004D3325">
        <w:rPr>
          <w:rFonts w:ascii="Palatino Linotype" w:hAnsi="Palatino Linotype" w:cs="Courier New"/>
          <w:color w:val="000000"/>
          <w:szCs w:val="19"/>
        </w:rPr>
        <w:t>to monitor bean by identifying which table row is selected by the user. Each row in the table corre</w:t>
      </w:r>
      <w:r w:rsidR="004D3325">
        <w:rPr>
          <w:rFonts w:ascii="Palatino Linotype" w:hAnsi="Palatino Linotype" w:cs="Courier New"/>
          <w:color w:val="000000"/>
          <w:szCs w:val="19"/>
        </w:rPr>
        <w:t>s</w:t>
      </w:r>
      <w:r w:rsidR="004D3325">
        <w:rPr>
          <w:rFonts w:ascii="Palatino Linotype" w:hAnsi="Palatino Linotype" w:cs="Courier New"/>
          <w:color w:val="000000"/>
          <w:szCs w:val="19"/>
        </w:rPr>
        <w:t>ponds to an entity in the job handlers hash table. Thus, the users can retrieve the job handlers and can take the mon</w:t>
      </w:r>
      <w:r w:rsidR="004D3325">
        <w:rPr>
          <w:rFonts w:ascii="Palatino Linotype" w:hAnsi="Palatino Linotype" w:cs="Courier New"/>
          <w:color w:val="000000"/>
          <w:szCs w:val="19"/>
        </w:rPr>
        <w:t>i</w:t>
      </w:r>
      <w:r w:rsidR="004D3325">
        <w:rPr>
          <w:rFonts w:ascii="Palatino Linotype" w:hAnsi="Palatino Linotype" w:cs="Courier New"/>
          <w:color w:val="000000"/>
          <w:szCs w:val="19"/>
        </w:rPr>
        <w:t xml:space="preserve">toring actions as specified. </w:t>
      </w:r>
      <w:r>
        <w:rPr>
          <w:rFonts w:ascii="Palatino Linotype" w:hAnsi="Palatino Linotype" w:cs="Courier New"/>
          <w:color w:val="000000"/>
          <w:szCs w:val="19"/>
        </w:rPr>
        <w:t xml:space="preserve"> </w:t>
      </w:r>
    </w:p>
    <w:p w:rsidR="002234E1" w:rsidRDefault="00092627" w:rsidP="002234E1">
      <w:pPr>
        <w:pStyle w:val="Heading1"/>
        <w:rPr>
          <w:color w:val="000000"/>
        </w:rPr>
      </w:pPr>
      <w:r>
        <w:rPr>
          <w:color w:val="000000"/>
        </w:rPr>
        <w:t>4</w:t>
      </w:r>
      <w:r w:rsidR="002234E1">
        <w:rPr>
          <w:color w:val="000000"/>
        </w:rPr>
        <w:tab/>
        <w:t>Conclusions</w:t>
      </w:r>
    </w:p>
    <w:p w:rsidR="002234E1" w:rsidRDefault="002234E1" w:rsidP="002234E1">
      <w:r>
        <w:t>We have described in this paper our work to build a si</w:t>
      </w:r>
      <w:r>
        <w:t>m</w:t>
      </w:r>
      <w:r>
        <w:t xml:space="preserve">ple science gateway for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’s Big Red supe</w:t>
      </w:r>
      <w:r>
        <w:t>r</w:t>
      </w:r>
      <w:r>
        <w:t>computer, based on the OGCE portal software release.  In our discussion, we have focused on new portlets for MEME job submission and job tracking that we developed</w:t>
      </w:r>
      <w:r w:rsidR="00B02E15">
        <w:t xml:space="preserve"> </w:t>
      </w:r>
      <w:r>
        <w:t xml:space="preserve">from OGCE and related libraries.  We then described our work to simplify the process for creating new Grid portlets using Java Server Faces tag library extensions.  </w:t>
      </w:r>
    </w:p>
    <w:p w:rsidR="002234E1" w:rsidRDefault="002234E1" w:rsidP="002234E1">
      <w:pPr>
        <w:pStyle w:val="ReferenceHead"/>
        <w:jc w:val="left"/>
        <w:rPr>
          <w:rFonts w:ascii="Helvetica" w:hAnsi="Helvetica"/>
          <w:b/>
          <w:bCs/>
          <w:color w:val="000000"/>
          <w:sz w:val="22"/>
        </w:rPr>
      </w:pPr>
      <w:r>
        <w:rPr>
          <w:rFonts w:ascii="Helvetica" w:hAnsi="Helvetica"/>
          <w:b/>
          <w:bCs/>
          <w:color w:val="000000"/>
          <w:sz w:val="22"/>
        </w:rPr>
        <w:t>Acknowledgment</w:t>
      </w:r>
    </w:p>
    <w:p w:rsidR="002234E1" w:rsidRPr="00467C37" w:rsidRDefault="002234E1" w:rsidP="002234E1">
      <w:pPr>
        <w:pStyle w:val="PARAGRAPHnoindent"/>
        <w:rPr>
          <w:color w:val="000000"/>
        </w:rPr>
      </w:pPr>
      <w:r>
        <w:t xml:space="preserve">This work was supported </w:t>
      </w:r>
      <w:r w:rsidRPr="005E0E84">
        <w:t>by the National Science Found</w:t>
      </w:r>
      <w:r w:rsidRPr="005E0E84">
        <w:t>a</w:t>
      </w:r>
      <w:r w:rsidRPr="005E0E84">
        <w:t>tion’s National Middleware Initiative program.</w:t>
      </w:r>
    </w:p>
    <w:p w:rsidR="002234E1" w:rsidRDefault="002234E1" w:rsidP="002234E1">
      <w:pPr>
        <w:pStyle w:val="ReferenceHead"/>
        <w:jc w:val="left"/>
        <w:rPr>
          <w:rFonts w:ascii="Helvetica" w:hAnsi="Helvetica"/>
          <w:b/>
          <w:bCs/>
          <w:color w:val="000000"/>
          <w:sz w:val="22"/>
        </w:rPr>
      </w:pPr>
      <w:r w:rsidRPr="009A7E9B">
        <w:rPr>
          <w:rFonts w:ascii="Helvetica" w:hAnsi="Helvetica"/>
          <w:b/>
          <w:bCs/>
          <w:color w:val="000000"/>
          <w:sz w:val="22"/>
        </w:rPr>
        <w:t>References</w:t>
      </w:r>
    </w:p>
    <w:p w:rsidR="00A20393" w:rsidRDefault="00A20393" w:rsidP="00A20393">
      <w:pPr>
        <w:pStyle w:val="PARAGRAPHnoindent"/>
        <w:numPr>
          <w:ilvl w:val="0"/>
          <w:numId w:val="40"/>
        </w:numPr>
        <w:ind w:left="360"/>
        <w:jc w:val="left"/>
      </w:pPr>
      <w:r w:rsidRPr="00917CAE">
        <w:t xml:space="preserve">Nancy Wilkins-Diehr, Special Issue: Science Gateways - Common Community Interfaces to Grid Resources. Published Online: 10 Oct 2006  DOI: 10.1002/cpe.1098. Available from </w:t>
      </w:r>
      <w:hyperlink r:id="rId16" w:history="1">
        <w:r w:rsidRPr="00917CAE">
          <w:t>http://www3.interscience.wiley.com/cgi-bin/fulltext/113391281/PDFSTART</w:t>
        </w:r>
      </w:hyperlink>
      <w:r w:rsidRPr="00917CAE">
        <w:t>.</w:t>
      </w:r>
    </w:p>
    <w:p w:rsidR="00A20393" w:rsidRDefault="00A20393" w:rsidP="00A20393">
      <w:pPr>
        <w:pStyle w:val="PARAGRAPHnoindent"/>
        <w:numPr>
          <w:ilvl w:val="0"/>
          <w:numId w:val="40"/>
        </w:numPr>
        <w:ind w:left="360"/>
        <w:jc w:val="left"/>
      </w:pPr>
      <w:r w:rsidRPr="003B52FC">
        <w:t>Maytal Dahan, Eric Roberts, “</w:t>
      </w:r>
      <w:r w:rsidRPr="004B6ADC">
        <w:rPr>
          <w:bCs/>
        </w:rPr>
        <w:t>TeraGrid User Portal v1.0: Architecture, Design, and Technologies</w:t>
      </w:r>
      <w:r w:rsidRPr="003B52FC">
        <w:t>.”   Second International Workshop on Grid Computing Enviro</w:t>
      </w:r>
      <w:r w:rsidRPr="003B52FC">
        <w:t>n</w:t>
      </w:r>
      <w:r w:rsidRPr="003B52FC">
        <w:t xml:space="preserve">ments GCE06 at SC06, </w:t>
      </w:r>
      <w:smartTag w:uri="urn:schemas-microsoft-com:office:smarttags" w:element="place">
        <w:smartTag w:uri="urn:schemas-microsoft-com:office:smarttags" w:element="City">
          <w:r w:rsidRPr="003B52FC">
            <w:t>Tampa</w:t>
          </w:r>
        </w:smartTag>
      </w:smartTag>
      <w:r w:rsidRPr="003B52FC">
        <w:t>, FL. Nov. 12-13 2006.</w:t>
      </w:r>
    </w:p>
    <w:p w:rsidR="00CB7E67" w:rsidRDefault="00A20393" w:rsidP="00A20393">
      <w:pPr>
        <w:pStyle w:val="PARAGRAPHnoindent"/>
        <w:numPr>
          <w:ilvl w:val="0"/>
          <w:numId w:val="40"/>
        </w:numPr>
        <w:ind w:left="360"/>
        <w:jc w:val="left"/>
      </w:pPr>
      <w:r w:rsidRPr="003B52FC">
        <w:t>Jay Alameda, Marcus Christie, Geoffrey Fox, Joe F</w:t>
      </w:r>
      <w:r w:rsidRPr="003B52FC">
        <w:t>u</w:t>
      </w:r>
      <w:r w:rsidRPr="003B52FC">
        <w:t>trelle, Dennis Gannon, Mihael Hategan, Gopi Kanda</w:t>
      </w:r>
      <w:r w:rsidRPr="003B52FC">
        <w:t>s</w:t>
      </w:r>
      <w:r w:rsidRPr="003B52FC">
        <w:t>wamy, Gregor von Laszewski, Mehmet A. Nacar, Ma</w:t>
      </w:r>
      <w:r w:rsidRPr="003B52FC">
        <w:t>r</w:t>
      </w:r>
      <w:r w:rsidRPr="003B52FC">
        <w:t>lon Pierce, Eric Roberts, Charles Severance, Mary Th</w:t>
      </w:r>
      <w:r w:rsidRPr="003B52FC">
        <w:t>o</w:t>
      </w:r>
      <w:r w:rsidRPr="003B52FC">
        <w:t xml:space="preserve">mas, </w:t>
      </w:r>
      <w:r w:rsidRPr="00CB7E67">
        <w:rPr>
          <w:rStyle w:val="Strong"/>
          <w:rFonts w:ascii="Times New Roman" w:hAnsi="Times New Roman"/>
          <w:b w:val="0"/>
          <w:szCs w:val="19"/>
        </w:rPr>
        <w:t>The Open Grid Computing Environments collabor</w:t>
      </w:r>
      <w:r w:rsidRPr="00CB7E67">
        <w:rPr>
          <w:rStyle w:val="Strong"/>
          <w:rFonts w:ascii="Times New Roman" w:hAnsi="Times New Roman"/>
          <w:b w:val="0"/>
          <w:szCs w:val="19"/>
        </w:rPr>
        <w:t>a</w:t>
      </w:r>
      <w:r w:rsidRPr="00CB7E67">
        <w:rPr>
          <w:rStyle w:val="Strong"/>
          <w:rFonts w:ascii="Times New Roman" w:hAnsi="Times New Roman"/>
          <w:b w:val="0"/>
          <w:szCs w:val="19"/>
        </w:rPr>
        <w:t>tion: portlets and services for science gateways</w:t>
      </w:r>
      <w:r w:rsidRPr="003B52FC">
        <w:t xml:space="preserve">. </w:t>
      </w:r>
      <w:r w:rsidR="00CB7E67" w:rsidRPr="003B52FC">
        <w:t>Concurre</w:t>
      </w:r>
      <w:r w:rsidR="00CB7E67" w:rsidRPr="003B52FC">
        <w:t>n</w:t>
      </w:r>
      <w:r w:rsidR="00CB7E67">
        <w:t>cy - Practice and Experience 19(6</w:t>
      </w:r>
      <w:r w:rsidR="00CB7E67" w:rsidRPr="003B52FC">
        <w:t xml:space="preserve">): </w:t>
      </w:r>
      <w:r w:rsidR="00CB7E67">
        <w:t>921-942</w:t>
      </w:r>
      <w:r w:rsidR="00CB7E67" w:rsidRPr="003B52FC">
        <w:t xml:space="preserve"> (200</w:t>
      </w:r>
      <w:r w:rsidR="00CB7E67">
        <w:t>7</w:t>
      </w:r>
      <w:r w:rsidR="00CB7E67" w:rsidRPr="003B52FC">
        <w:t>).</w:t>
      </w:r>
    </w:p>
    <w:p w:rsidR="00A20393" w:rsidRDefault="00A20393" w:rsidP="00A20393">
      <w:pPr>
        <w:pStyle w:val="PARAGRAPHnoindent"/>
        <w:numPr>
          <w:ilvl w:val="0"/>
          <w:numId w:val="40"/>
        </w:numPr>
        <w:ind w:left="360"/>
        <w:jc w:val="left"/>
      </w:pPr>
      <w:r w:rsidRPr="003B52FC">
        <w:t>Jason Novotny, Michael Russell, Oliver Wehrens: GridSphere: a portal framework for building collabor</w:t>
      </w:r>
      <w:r w:rsidRPr="003B52FC">
        <w:t>a</w:t>
      </w:r>
      <w:r w:rsidRPr="003B52FC">
        <w:t xml:space="preserve">tions. Concurrency - Practice and Experience 16(5): 503-513 (2004). </w:t>
      </w:r>
    </w:p>
    <w:p w:rsidR="00A20393" w:rsidRPr="008A00F3" w:rsidRDefault="00A20393" w:rsidP="00A20393">
      <w:pPr>
        <w:pStyle w:val="PARAGRAPHnoindent"/>
        <w:numPr>
          <w:ilvl w:val="0"/>
          <w:numId w:val="40"/>
        </w:numPr>
        <w:ind w:left="360"/>
        <w:jc w:val="left"/>
      </w:pPr>
      <w:bookmarkStart w:id="0" w:name="_Ref158731486"/>
      <w:r w:rsidRPr="003B52FC">
        <w:t>Kaizar Amin, Mihael Hategan, Gregor von Laszewski, Nestor J. Zaluzec: Abstracting the Grid. PDP 2004: 250-257.</w:t>
      </w:r>
      <w:bookmarkEnd w:id="0"/>
    </w:p>
    <w:p w:rsidR="00A37DF8" w:rsidRDefault="00A37DF8" w:rsidP="002234E1">
      <w:pPr>
        <w:pStyle w:val="PARAGRAPHnoindent"/>
        <w:numPr>
          <w:ilvl w:val="0"/>
          <w:numId w:val="40"/>
        </w:numPr>
        <w:ind w:left="360"/>
        <w:jc w:val="left"/>
        <w:rPr>
          <w:szCs w:val="19"/>
          <w:lang w:eastAsia="ko-KR"/>
        </w:rPr>
      </w:pPr>
      <w:r w:rsidRPr="00366415">
        <w:rPr>
          <w:szCs w:val="19"/>
          <w:lang w:eastAsia="ko-KR"/>
        </w:rPr>
        <w:t xml:space="preserve">Michael, R., N. Jason, and W. Oliver, </w:t>
      </w:r>
      <w:r w:rsidRPr="00366415">
        <w:rPr>
          <w:i/>
          <w:szCs w:val="19"/>
          <w:lang w:eastAsia="ko-KR"/>
        </w:rPr>
        <w:t>The Grid Portlets Web Application: A Grid Portal Framework</w:t>
      </w:r>
      <w:r w:rsidRPr="00366415">
        <w:rPr>
          <w:szCs w:val="19"/>
          <w:lang w:eastAsia="ko-KR"/>
        </w:rPr>
        <w:t>. Parallel Processing and Applied Mathematics. 2006. 691-698.</w:t>
      </w:r>
    </w:p>
    <w:p w:rsidR="00366415" w:rsidRPr="002234E1" w:rsidRDefault="00366415" w:rsidP="00366415">
      <w:pPr>
        <w:pStyle w:val="PARAGRAPHnoindent"/>
        <w:numPr>
          <w:ilvl w:val="0"/>
          <w:numId w:val="40"/>
        </w:numPr>
        <w:ind w:left="360"/>
        <w:jc w:val="left"/>
        <w:rPr>
          <w:noProof/>
          <w:lang w:val="de-DE"/>
        </w:rPr>
      </w:pPr>
      <w:bookmarkStart w:id="1" w:name="_Ref158731308"/>
      <w:r w:rsidRPr="003B52FC">
        <w:t>Mehmet Nacar, Marlon Pierce, Gordon Erlebacher, Geoffrey Fox. “Designing Grid Tag Libraries and Grid Beans.”  Second International Workshop on Grid Co</w:t>
      </w:r>
      <w:r w:rsidRPr="003B52FC">
        <w:t>m</w:t>
      </w:r>
      <w:r w:rsidRPr="003B52FC">
        <w:t>puting Environments GCE</w:t>
      </w:r>
      <w:r w:rsidR="00FC095D">
        <w:t>’</w:t>
      </w:r>
      <w:r w:rsidRPr="003B52FC">
        <w:t>06 at SC06, Tampa, FL. Nov. 12-13 2006</w:t>
      </w:r>
      <w:r>
        <w:t>.</w:t>
      </w:r>
      <w:bookmarkEnd w:id="1"/>
    </w:p>
    <w:p w:rsidR="00366415" w:rsidRPr="00971F0F" w:rsidRDefault="00366415" w:rsidP="00366415">
      <w:pPr>
        <w:pStyle w:val="PARAGRAPHnoindent"/>
        <w:numPr>
          <w:ilvl w:val="0"/>
          <w:numId w:val="40"/>
        </w:numPr>
        <w:ind w:left="360"/>
        <w:jc w:val="left"/>
        <w:rPr>
          <w:noProof/>
          <w:lang w:val="de-DE"/>
        </w:rPr>
      </w:pPr>
      <w:bookmarkStart w:id="2" w:name="_Ref158731310"/>
      <w:r w:rsidRPr="00780A61">
        <w:rPr>
          <w:sz w:val="20"/>
        </w:rPr>
        <w:t xml:space="preserve">Mehmet A. Nacar, Mehmet S. Aktas, Marlon Pierce, </w:t>
      </w:r>
      <w:r w:rsidRPr="00780A61">
        <w:rPr>
          <w:sz w:val="20"/>
        </w:rPr>
        <w:lastRenderedPageBreak/>
        <w:t>Zhenyu Lu and Gordon Erlebacher, Dan Kigelman, Evan F. Bollig, Cesar De Silva, Benny Sowell, and David A. Yuen VLab: Collaborative Grid Services and Portals to Support Computational Material Science</w:t>
      </w:r>
      <w:r w:rsidR="00FC095D">
        <w:rPr>
          <w:sz w:val="20"/>
        </w:rPr>
        <w:t>.</w:t>
      </w:r>
      <w:r w:rsidRPr="00780A61">
        <w:rPr>
          <w:sz w:val="20"/>
        </w:rPr>
        <w:t xml:space="preserve"> Dec 30, 2005</w:t>
      </w:r>
      <w:r w:rsidR="00FC095D">
        <w:rPr>
          <w:sz w:val="20"/>
        </w:rPr>
        <w:t>.</w:t>
      </w:r>
      <w:r w:rsidRPr="00780A61">
        <w:rPr>
          <w:sz w:val="20"/>
        </w:rPr>
        <w:t xml:space="preserve"> Special Issue on Grid Portals based on SC05 GCE'05 Workshop, Concurrency and Computation: Practice and Experience</w:t>
      </w:r>
      <w:r>
        <w:rPr>
          <w:sz w:val="20"/>
        </w:rPr>
        <w:t>.</w:t>
      </w:r>
      <w:bookmarkEnd w:id="2"/>
    </w:p>
    <w:p w:rsidR="00A20393" w:rsidRPr="00A20393" w:rsidRDefault="00A20393" w:rsidP="002234E1">
      <w:pPr>
        <w:pStyle w:val="PARAGRAPHnoindent"/>
        <w:numPr>
          <w:ilvl w:val="0"/>
          <w:numId w:val="40"/>
        </w:numPr>
        <w:ind w:left="360"/>
        <w:jc w:val="left"/>
        <w:rPr>
          <w:rFonts w:ascii="Palatino Linotype" w:hAnsi="Palatino Linotype"/>
        </w:rPr>
      </w:pPr>
      <w:r w:rsidRPr="00A20393">
        <w:rPr>
          <w:iCs/>
          <w:noProof/>
        </w:rPr>
        <w:t xml:space="preserve">The MEME/MAST System. </w:t>
      </w:r>
      <w:r w:rsidRPr="00A20393">
        <w:rPr>
          <w:noProof/>
          <w:lang w:val="de-DE"/>
        </w:rPr>
        <w:t xml:space="preserve">[Online] </w:t>
      </w:r>
      <w:r w:rsidRPr="00B510DE">
        <w:rPr>
          <w:noProof/>
          <w:lang w:val="de-DE"/>
        </w:rPr>
        <w:t>http://meme.sdsc.edu/meme/intro.html</w:t>
      </w:r>
      <w:r w:rsidRPr="00A20393">
        <w:rPr>
          <w:noProof/>
          <w:lang w:val="de-DE"/>
        </w:rPr>
        <w:t>.</w:t>
      </w:r>
    </w:p>
    <w:p w:rsidR="00A20393" w:rsidRDefault="00A20393" w:rsidP="00A20393">
      <w:pPr>
        <w:pStyle w:val="PARAGRAPHnoindent"/>
        <w:numPr>
          <w:ilvl w:val="0"/>
          <w:numId w:val="40"/>
        </w:numPr>
        <w:ind w:left="360"/>
        <w:jc w:val="left"/>
      </w:pPr>
      <w:bookmarkStart w:id="3" w:name="_Ref158731203"/>
      <w:r>
        <w:t>Karl Czajkowski, Ian Foster, Nick Karonis, Carl Ke</w:t>
      </w:r>
      <w:r>
        <w:t>s</w:t>
      </w:r>
      <w:r>
        <w:t>selman, Stuart Martin, Warren Smith, Steven Tuecke. “A Resource Management Architecture for Metaco</w:t>
      </w:r>
      <w:r>
        <w:t>m</w:t>
      </w:r>
      <w:r>
        <w:t>puting Systems”. LNCS Vol. 1459, 1998</w:t>
      </w:r>
      <w:bookmarkEnd w:id="3"/>
    </w:p>
    <w:p w:rsidR="008A00F3" w:rsidRPr="00CD4A97" w:rsidRDefault="00A20393" w:rsidP="002234E1">
      <w:pPr>
        <w:pStyle w:val="PARAGRAPHnoindent"/>
        <w:numPr>
          <w:ilvl w:val="0"/>
          <w:numId w:val="40"/>
        </w:numPr>
        <w:ind w:left="360"/>
        <w:jc w:val="left"/>
        <w:rPr>
          <w:rFonts w:ascii="Palatino Linotype" w:hAnsi="Palatino Linotype"/>
        </w:rPr>
      </w:pPr>
      <w:r w:rsidRPr="00A20393">
        <w:rPr>
          <w:rFonts w:ascii="Palatino Linotype" w:hAnsi="Palatino Linotype" w:cs="CMR10"/>
          <w:sz w:val="20"/>
        </w:rPr>
        <w:t xml:space="preserve"> </w:t>
      </w:r>
      <w:bookmarkStart w:id="4" w:name="_Ref158731248"/>
      <w:r w:rsidR="00CD4A97" w:rsidRPr="00A20393">
        <w:rPr>
          <w:rFonts w:ascii="Palatino Linotype" w:hAnsi="Palatino Linotype" w:cs="CMR10"/>
          <w:sz w:val="20"/>
        </w:rPr>
        <w:t xml:space="preserve">Aleksander Slominski. Design of a Pull and Push Parser System for Streaming XML. Technical report, Indiana University Computer Science Department, 2002.  Available from </w:t>
      </w:r>
      <w:r w:rsidR="00CD4A97" w:rsidRPr="00A20393">
        <w:rPr>
          <w:rFonts w:ascii="Palatino Linotype" w:hAnsi="Palatino Linotype" w:cs="CMTT10"/>
          <w:sz w:val="20"/>
        </w:rPr>
        <w:t xml:space="preserve"> http://www.extreme.indiana.edu/xgws/papers/xml_push_pull</w:t>
      </w:r>
      <w:r w:rsidR="00CD4A97" w:rsidRPr="00A20393">
        <w:rPr>
          <w:rFonts w:ascii="Palatino Linotype" w:hAnsi="Palatino Linotype" w:cs="CMR10"/>
          <w:sz w:val="20"/>
        </w:rPr>
        <w:t xml:space="preserve">/. last accessed in </w:t>
      </w:r>
      <w:bookmarkEnd w:id="4"/>
      <w:r w:rsidR="00FC095D">
        <w:rPr>
          <w:rFonts w:ascii="Palatino Linotype" w:hAnsi="Palatino Linotype" w:cs="CMR10"/>
          <w:sz w:val="20"/>
        </w:rPr>
        <w:t>April 2007.</w:t>
      </w:r>
    </w:p>
    <w:p w:rsidR="00A20393" w:rsidRPr="00CD4A97" w:rsidRDefault="00A20393" w:rsidP="00A20393">
      <w:pPr>
        <w:pStyle w:val="PARAGRAPHnoindent"/>
        <w:numPr>
          <w:ilvl w:val="0"/>
          <w:numId w:val="40"/>
        </w:numPr>
        <w:ind w:left="360"/>
        <w:jc w:val="left"/>
        <w:rPr>
          <w:rFonts w:ascii="Palatino Linotype" w:hAnsi="Palatino Linotype"/>
          <w:szCs w:val="19"/>
        </w:rPr>
      </w:pPr>
      <w:bookmarkStart w:id="5" w:name="_Ref158731276"/>
      <w:r w:rsidRPr="00CD4A97">
        <w:rPr>
          <w:rFonts w:ascii="Palatino Linotype" w:hAnsi="Palatino Linotype" w:cs="CMR8"/>
          <w:szCs w:val="19"/>
        </w:rPr>
        <w:t>M. Dahan, M. Thomas, E. Roberts, A. Seth, T. Urban, D. Walling, J.R. Boisseau. ”Grid Portal Toolkit 3.0 (Gri</w:t>
      </w:r>
      <w:r w:rsidRPr="00CD4A97">
        <w:rPr>
          <w:rFonts w:ascii="Palatino Linotype" w:hAnsi="Palatino Linotype" w:cs="CMR8"/>
          <w:szCs w:val="19"/>
        </w:rPr>
        <w:t>d</w:t>
      </w:r>
      <w:r w:rsidRPr="00CD4A97">
        <w:rPr>
          <w:rFonts w:ascii="Palatino Linotype" w:hAnsi="Palatino Linotype" w:cs="CMR8"/>
          <w:szCs w:val="19"/>
        </w:rPr>
        <w:t xml:space="preserve">Port)”, in </w:t>
      </w:r>
      <w:r w:rsidRPr="00CD4A97">
        <w:rPr>
          <w:rFonts w:ascii="Palatino Linotype" w:hAnsi="Palatino Linotype" w:cs="CMTI8"/>
          <w:szCs w:val="19"/>
        </w:rPr>
        <w:t>Proceedings. 13th IEEE International Symp</w:t>
      </w:r>
      <w:r w:rsidRPr="00CD4A97">
        <w:rPr>
          <w:rFonts w:ascii="Palatino Linotype" w:hAnsi="Palatino Linotype" w:cs="CMTI8"/>
          <w:szCs w:val="19"/>
        </w:rPr>
        <w:t>o</w:t>
      </w:r>
      <w:r w:rsidRPr="00CD4A97">
        <w:rPr>
          <w:rFonts w:ascii="Palatino Linotype" w:hAnsi="Palatino Linotype" w:cs="CMTI8"/>
          <w:szCs w:val="19"/>
        </w:rPr>
        <w:t>sium on High performance Distributed Computing</w:t>
      </w:r>
      <w:r w:rsidRPr="00CD4A97">
        <w:rPr>
          <w:rFonts w:ascii="Palatino Linotype" w:hAnsi="Palatino Linotype" w:cs="CMR8"/>
          <w:szCs w:val="19"/>
        </w:rPr>
        <w:t>, 4-6, pp.272 - 273, June 2004</w:t>
      </w:r>
      <w:bookmarkEnd w:id="5"/>
    </w:p>
    <w:p w:rsidR="00442133" w:rsidRPr="00442133" w:rsidRDefault="00A20393" w:rsidP="002234E1">
      <w:pPr>
        <w:pStyle w:val="PARAGRAPHnoindent"/>
        <w:numPr>
          <w:ilvl w:val="0"/>
          <w:numId w:val="40"/>
        </w:numPr>
        <w:ind w:left="360"/>
        <w:jc w:val="left"/>
        <w:rPr>
          <w:noProof/>
          <w:lang w:val="de-DE"/>
        </w:rPr>
      </w:pPr>
      <w:r w:rsidRPr="003B52FC">
        <w:rPr>
          <w:iCs/>
          <w:noProof/>
        </w:rPr>
        <w:t xml:space="preserve">Indiana </w:t>
      </w:r>
      <w:smartTag w:uri="urn:schemas-microsoft-com:office:smarttags" w:element="PlaceType">
        <w:r w:rsidRPr="003B52FC">
          <w:rPr>
            <w:iCs/>
            <w:noProof/>
          </w:rPr>
          <w:t>University</w:t>
        </w:r>
      </w:smartTag>
      <w:r w:rsidRPr="003B52FC">
        <w:rPr>
          <w:iCs/>
          <w:noProof/>
        </w:rPr>
        <w:t xml:space="preserve"> Knowledge Base. </w:t>
      </w:r>
      <w:r w:rsidRPr="002234E1">
        <w:rPr>
          <w:noProof/>
          <w:lang w:val="de-DE"/>
        </w:rPr>
        <w:t xml:space="preserve">[Online] </w:t>
      </w:r>
      <w:r w:rsidRPr="00B510DE">
        <w:rPr>
          <w:noProof/>
          <w:lang w:val="de-DE"/>
        </w:rPr>
        <w:t>http://kb.iu.edu/</w:t>
      </w:r>
      <w:r w:rsidRPr="002234E1">
        <w:rPr>
          <w:noProof/>
          <w:lang w:val="de-DE"/>
        </w:rPr>
        <w:t>.</w:t>
      </w:r>
    </w:p>
    <w:p w:rsidR="002234E1" w:rsidRPr="00A20393" w:rsidRDefault="002234E1" w:rsidP="00971F0F">
      <w:pPr>
        <w:pStyle w:val="PARAGRAPHnoindent"/>
        <w:ind w:left="360"/>
        <w:jc w:val="left"/>
        <w:rPr>
          <w:noProof/>
          <w:lang w:val="de-DE"/>
        </w:rPr>
      </w:pPr>
    </w:p>
    <w:p w:rsidR="0047435F" w:rsidRDefault="0047435F" w:rsidP="002234E1">
      <w:pPr>
        <w:rPr>
          <w:lang w:eastAsia="ko-KR"/>
        </w:rPr>
      </w:pPr>
    </w:p>
    <w:p w:rsidR="0047435F" w:rsidRDefault="0047435F" w:rsidP="002234E1">
      <w:pPr>
        <w:rPr>
          <w:lang w:eastAsia="ko-KR"/>
        </w:rPr>
      </w:pPr>
    </w:p>
    <w:sectPr w:rsidR="0047435F" w:rsidSect="002234E1">
      <w:headerReference w:type="even" r:id="rId17"/>
      <w:headerReference w:type="default" r:id="rId18"/>
      <w:endnotePr>
        <w:numFmt w:val="decimal"/>
      </w:endnotePr>
      <w:type w:val="continuous"/>
      <w:pgSz w:w="11640" w:h="15480" w:code="1"/>
      <w:pgMar w:top="1195" w:right="605" w:bottom="360" w:left="720" w:header="605" w:footer="72" w:gutter="0"/>
      <w:cols w:num="2" w:space="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06D" w:rsidRDefault="006F406D" w:rsidP="00524FE6">
      <w:r>
        <w:separator/>
      </w:r>
    </w:p>
  </w:endnote>
  <w:endnote w:type="continuationSeparator" w:id="1">
    <w:p w:rsidR="006F406D" w:rsidRDefault="006F406D" w:rsidP="0052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rogramThree">
    <w:panose1 w:val="00000000000000000000"/>
    <w:charset w:val="00"/>
    <w:family w:val="roma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algun Gothic">
    <w:altName w:val="바탕"/>
    <w:panose1 w:val="00000000000000000000"/>
    <w:charset w:val="81"/>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MTT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I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B25DBB">
    <w:pPr>
      <w:spacing w:line="20" w:lineRule="exac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B25DBB">
    <w:pPr>
      <w:spacing w:line="20" w:lineRule="exact"/>
      <w:jc w:val="center"/>
      <w:rPr>
        <w:rFonts w:ascii="Arial" w:hAnsi="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B25DBB">
    <w:pPr>
      <w:pStyle w:val="Footer"/>
      <w:spacing w:line="20" w:lineRule="exac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06D" w:rsidRDefault="006F406D">
      <w:pPr>
        <w:pStyle w:val="TABLEROW"/>
        <w:jc w:val="left"/>
        <w:rPr>
          <w:position w:val="12"/>
          <w:sz w:val="20"/>
        </w:rPr>
      </w:pPr>
    </w:p>
  </w:footnote>
  <w:footnote w:type="continuationSeparator" w:id="1">
    <w:p w:rsidR="006F406D" w:rsidRDefault="006F406D" w:rsidP="0052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A90F13">
    <w:pPr>
      <w:pStyle w:val="Header"/>
      <w:tabs>
        <w:tab w:val="clear" w:pos="10200"/>
        <w:tab w:val="right" w:pos="10320"/>
      </w:tabs>
      <w:spacing w:line="180" w:lineRule="exact"/>
    </w:pPr>
    <w:fldSimple w:instr="PAGE">
      <w:r w:rsidR="00B25DBB">
        <w:rPr>
          <w:noProof/>
        </w:rPr>
        <w:t>4</w:t>
      </w:r>
    </w:fldSimple>
    <w:r w:rsidR="00B25DBB">
      <w:rPr>
        <w:b/>
        <w:i/>
        <w:vanish/>
      </w:rPr>
      <w:t xml:space="preserve">   </w:t>
    </w:r>
    <w:r w:rsidR="00B25DBB">
      <w:rPr>
        <w:i/>
        <w:caps w:val="0"/>
        <w:vanish/>
      </w:rPr>
      <w:t>even page</w:t>
    </w:r>
    <w:r w:rsidR="00B25DBB">
      <w:tab/>
      <w:t>IEEE TRANSACTIONS ON XXXXXXXXXXXXXXXXXXXX,  vol.  #,  no.  #,  MMMMMMMM  1996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B25DBB">
    <w:pPr>
      <w:pStyle w:val="Header"/>
      <w:tabs>
        <w:tab w:val="clear" w:pos="10200"/>
        <w:tab w:val="right" w:pos="10320"/>
      </w:tabs>
      <w:spacing w:line="180" w:lineRule="exact"/>
    </w:pPr>
    <w:r>
      <w:t>AUTHOR:  TITLE</w:t>
    </w:r>
    <w:r>
      <w:tab/>
    </w:r>
    <w:r>
      <w:rPr>
        <w:i/>
        <w:caps w:val="0"/>
        <w:vanish/>
      </w:rPr>
      <w:t>odd page</w:t>
    </w:r>
    <w:r>
      <w:rPr>
        <w:caps w:val="0"/>
        <w:vanish/>
      </w:rPr>
      <w:t xml:space="preserve">    </w:t>
    </w:r>
    <w:fldSimple w:instr="PAGE">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B25DBB">
    <w:pPr>
      <w:pStyle w:val="Header"/>
      <w:tabs>
        <w:tab w:val="clear" w:pos="10200"/>
        <w:tab w:val="right" w:pos="10320"/>
      </w:tabs>
      <w:spacing w:line="180" w:lineRule="exact"/>
    </w:pPr>
    <w:r>
      <w:t xml:space="preserve">TeraGrid 2007 conference, </w:t>
    </w: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smartTag>
    <w:r>
      <w:tab/>
    </w:r>
    <w:r>
      <w:rPr>
        <w:b/>
        <w:caps w:val="0"/>
        <w:vanish/>
        <w:sz w:val="16"/>
      </w:rPr>
      <w:t>first page</w:t>
    </w:r>
    <w:r>
      <w:rPr>
        <w:caps w:val="0"/>
        <w:vanish/>
      </w:rPr>
      <w:t xml:space="preserve">   </w:t>
    </w:r>
    <w:fldSimple w:instr=" PAGE ">
      <w:r w:rsidR="00FE3B71">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A90F13">
    <w:pPr>
      <w:pStyle w:val="Header"/>
      <w:tabs>
        <w:tab w:val="clear" w:pos="10200"/>
        <w:tab w:val="right" w:pos="10320"/>
      </w:tabs>
      <w:spacing w:line="180" w:lineRule="exact"/>
    </w:pPr>
    <w:fldSimple w:instr="PAGE">
      <w:r w:rsidR="00FE3B71">
        <w:rPr>
          <w:noProof/>
        </w:rPr>
        <w:t>2</w:t>
      </w:r>
    </w:fldSimple>
    <w:r w:rsidR="00B25DBB">
      <w:rPr>
        <w:b/>
        <w:i/>
        <w:vanish/>
      </w:rPr>
      <w:t xml:space="preserve">   </w:t>
    </w:r>
    <w:r w:rsidR="00B25DBB">
      <w:rPr>
        <w:i/>
        <w:caps w:val="0"/>
        <w:vanish/>
      </w:rPr>
      <w:t>even page</w:t>
    </w:r>
    <w:r w:rsidR="00B25DBB">
      <w:tab/>
      <w:t xml:space="preserve">TeraGRID 2007 Conference, </w:t>
    </w:r>
    <w:smartTag w:uri="urn:schemas-microsoft-com:office:smarttags" w:element="place">
      <w:smartTag w:uri="urn:schemas-microsoft-com:office:smarttags" w:element="City">
        <w:r w:rsidR="00B25DBB">
          <w:t>Madison</w:t>
        </w:r>
      </w:smartTag>
      <w:r w:rsidR="00B25DBB">
        <w:t xml:space="preserve">, </w:t>
      </w:r>
      <w:smartTag w:uri="urn:schemas-microsoft-com:office:smarttags" w:element="State">
        <w:r w:rsidR="00B25DBB">
          <w:t>WI</w:t>
        </w:r>
      </w:smartTag>
    </w:smartTag>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BB" w:rsidRDefault="00B25DBB">
    <w:pPr>
      <w:pStyle w:val="Header"/>
      <w:tabs>
        <w:tab w:val="clear" w:pos="10200"/>
        <w:tab w:val="right" w:pos="10320"/>
      </w:tabs>
      <w:spacing w:line="180" w:lineRule="exact"/>
    </w:pPr>
    <w:r>
      <w:t>NAcAR et al.:  BUILDING A GRID PORTAL FOR TERAGRID’s big red</w:t>
    </w:r>
    <w:r>
      <w:tab/>
    </w:r>
    <w:r>
      <w:rPr>
        <w:i/>
        <w:caps w:val="0"/>
        <w:vanish/>
      </w:rPr>
      <w:t>odd page</w:t>
    </w:r>
    <w:r>
      <w:rPr>
        <w:caps w:val="0"/>
        <w:vanish/>
      </w:rPr>
      <w:t xml:space="preserve">    </w:t>
    </w:r>
    <w:fldSimple w:instr="PAGE">
      <w:r w:rsidR="00FE3B71">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FFFFFFFE"/>
    <w:multiLevelType w:val="singleLevel"/>
    <w:tmpl w:val="FFFFFFFF"/>
    <w:lvl w:ilvl="0">
      <w:numFmt w:val="decimal"/>
      <w:lvlText w:val="*"/>
      <w:lvlJc w:val="left"/>
    </w:lvl>
  </w:abstractNum>
  <w:abstractNum w:abstractNumId="2">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E07A2"/>
    <w:multiLevelType w:val="hybridMultilevel"/>
    <w:tmpl w:val="DD1615F6"/>
    <w:lvl w:ilvl="0" w:tplc="D520B282">
      <w:start w:val="4"/>
      <w:numFmt w:val="decimal"/>
      <w:lvlText w:val="%1"/>
      <w:lvlJc w:val="left"/>
      <w:pPr>
        <w:tabs>
          <w:tab w:val="num" w:pos="360"/>
        </w:tabs>
        <w:ind w:left="360" w:hanging="360"/>
      </w:pPr>
      <w:rPr>
        <w:rFonts w:hint="default"/>
      </w:rPr>
    </w:lvl>
    <w:lvl w:ilvl="1" w:tplc="DA7E9796">
      <w:numFmt w:val="none"/>
      <w:lvlText w:val=""/>
      <w:lvlJc w:val="left"/>
      <w:pPr>
        <w:tabs>
          <w:tab w:val="num" w:pos="360"/>
        </w:tabs>
      </w:pPr>
    </w:lvl>
    <w:lvl w:ilvl="2" w:tplc="DF205BAA">
      <w:numFmt w:val="none"/>
      <w:lvlText w:val=""/>
      <w:lvlJc w:val="left"/>
      <w:pPr>
        <w:tabs>
          <w:tab w:val="num" w:pos="360"/>
        </w:tabs>
      </w:pPr>
    </w:lvl>
    <w:lvl w:ilvl="3" w:tplc="23C006B2">
      <w:numFmt w:val="none"/>
      <w:lvlText w:val=""/>
      <w:lvlJc w:val="left"/>
      <w:pPr>
        <w:tabs>
          <w:tab w:val="num" w:pos="360"/>
        </w:tabs>
      </w:pPr>
    </w:lvl>
    <w:lvl w:ilvl="4" w:tplc="483EFDA0">
      <w:numFmt w:val="none"/>
      <w:lvlText w:val=""/>
      <w:lvlJc w:val="left"/>
      <w:pPr>
        <w:tabs>
          <w:tab w:val="num" w:pos="360"/>
        </w:tabs>
      </w:pPr>
    </w:lvl>
    <w:lvl w:ilvl="5" w:tplc="986A8DCC">
      <w:numFmt w:val="none"/>
      <w:lvlText w:val=""/>
      <w:lvlJc w:val="left"/>
      <w:pPr>
        <w:tabs>
          <w:tab w:val="num" w:pos="360"/>
        </w:tabs>
      </w:pPr>
    </w:lvl>
    <w:lvl w:ilvl="6" w:tplc="5074C1EE">
      <w:numFmt w:val="none"/>
      <w:lvlText w:val=""/>
      <w:lvlJc w:val="left"/>
      <w:pPr>
        <w:tabs>
          <w:tab w:val="num" w:pos="360"/>
        </w:tabs>
      </w:pPr>
    </w:lvl>
    <w:lvl w:ilvl="7" w:tplc="68261ABC">
      <w:numFmt w:val="none"/>
      <w:lvlText w:val=""/>
      <w:lvlJc w:val="left"/>
      <w:pPr>
        <w:tabs>
          <w:tab w:val="num" w:pos="360"/>
        </w:tabs>
      </w:pPr>
    </w:lvl>
    <w:lvl w:ilvl="8" w:tplc="EDC09D98">
      <w:numFmt w:val="none"/>
      <w:lvlText w:val=""/>
      <w:lvlJc w:val="left"/>
      <w:pPr>
        <w:tabs>
          <w:tab w:val="num" w:pos="360"/>
        </w:tabs>
      </w:pPr>
    </w:lvl>
  </w:abstractNum>
  <w:abstractNum w:abstractNumId="8">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nsid w:val="154700A2"/>
    <w:multiLevelType w:val="singleLevel"/>
    <w:tmpl w:val="832E08D8"/>
    <w:lvl w:ilvl="0">
      <w:start w:val="1"/>
      <w:numFmt w:val="decimal"/>
      <w:lvlText w:val="%1)"/>
      <w:legacy w:legacy="1" w:legacySpace="0" w:legacyIndent="216"/>
      <w:lvlJc w:val="left"/>
      <w:pPr>
        <w:ind w:left="456" w:hanging="216"/>
      </w:pPr>
    </w:lvl>
  </w:abstractNum>
  <w:abstractNum w:abstractNumId="10">
    <w:nsid w:val="18AD4900"/>
    <w:multiLevelType w:val="multilevel"/>
    <w:tmpl w:val="377E6C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783236"/>
    <w:multiLevelType w:val="singleLevel"/>
    <w:tmpl w:val="832E08D8"/>
    <w:lvl w:ilvl="0">
      <w:start w:val="1"/>
      <w:numFmt w:val="decimal"/>
      <w:lvlText w:val="%1)"/>
      <w:legacy w:legacy="1" w:legacySpace="0" w:legacyIndent="216"/>
      <w:lvlJc w:val="left"/>
      <w:pPr>
        <w:ind w:left="456" w:hanging="216"/>
      </w:pPr>
    </w:lvl>
  </w:abstractNum>
  <w:abstractNum w:abstractNumId="12">
    <w:nsid w:val="1B0B1D66"/>
    <w:multiLevelType w:val="singleLevel"/>
    <w:tmpl w:val="0BEC9FB0"/>
    <w:lvl w:ilvl="0">
      <w:start w:val="1"/>
      <w:numFmt w:val="none"/>
      <w:lvlText w:val=""/>
      <w:legacy w:legacy="1" w:legacySpace="0" w:legacyIndent="0"/>
      <w:lvlJc w:val="left"/>
      <w:pPr>
        <w:ind w:left="288"/>
      </w:pPr>
    </w:lvl>
  </w:abstractNum>
  <w:abstractNum w:abstractNumId="13">
    <w:nsid w:val="2517274C"/>
    <w:multiLevelType w:val="singleLevel"/>
    <w:tmpl w:val="04090011"/>
    <w:lvl w:ilvl="0">
      <w:start w:val="1"/>
      <w:numFmt w:val="decimal"/>
      <w:lvlText w:val="%1)"/>
      <w:lvlJc w:val="left"/>
      <w:pPr>
        <w:tabs>
          <w:tab w:val="num" w:pos="360"/>
        </w:tabs>
        <w:ind w:left="360" w:hanging="360"/>
      </w:pPr>
    </w:lvl>
  </w:abstractNum>
  <w:abstractNum w:abstractNumId="14">
    <w:nsid w:val="2D234D8B"/>
    <w:multiLevelType w:val="singleLevel"/>
    <w:tmpl w:val="0409000F"/>
    <w:lvl w:ilvl="0">
      <w:start w:val="1"/>
      <w:numFmt w:val="decimal"/>
      <w:lvlText w:val="%1."/>
      <w:lvlJc w:val="left"/>
      <w:pPr>
        <w:tabs>
          <w:tab w:val="num" w:pos="360"/>
        </w:tabs>
        <w:ind w:left="360" w:hanging="360"/>
      </w:pPr>
    </w:lvl>
  </w:abstractNum>
  <w:abstractNum w:abstractNumId="15">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2E2B21"/>
    <w:multiLevelType w:val="singleLevel"/>
    <w:tmpl w:val="832E08D8"/>
    <w:lvl w:ilvl="0">
      <w:start w:val="1"/>
      <w:numFmt w:val="decimal"/>
      <w:lvlText w:val="%1)"/>
      <w:legacy w:legacy="1" w:legacySpace="0" w:legacyIndent="216"/>
      <w:lvlJc w:val="left"/>
      <w:pPr>
        <w:ind w:left="456" w:hanging="216"/>
      </w:pPr>
    </w:lvl>
  </w:abstractNum>
  <w:abstractNum w:abstractNumId="17">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nsid w:val="32465C74"/>
    <w:multiLevelType w:val="singleLevel"/>
    <w:tmpl w:val="832E08D8"/>
    <w:lvl w:ilvl="0">
      <w:start w:val="1"/>
      <w:numFmt w:val="decimal"/>
      <w:lvlText w:val="%1)"/>
      <w:legacy w:legacy="1" w:legacySpace="0" w:legacyIndent="216"/>
      <w:lvlJc w:val="left"/>
      <w:pPr>
        <w:ind w:left="456" w:hanging="216"/>
      </w:pPr>
    </w:lvl>
  </w:abstractNum>
  <w:abstractNum w:abstractNumId="19">
    <w:nsid w:val="3A877D64"/>
    <w:multiLevelType w:val="singleLevel"/>
    <w:tmpl w:val="5DA6FC16"/>
    <w:lvl w:ilvl="0">
      <w:start w:val="1"/>
      <w:numFmt w:val="decimal"/>
      <w:lvlText w:val="[%1]"/>
      <w:lvlJc w:val="left"/>
      <w:pPr>
        <w:tabs>
          <w:tab w:val="num" w:pos="360"/>
        </w:tabs>
        <w:ind w:left="360" w:hanging="360"/>
      </w:p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7D5D9E"/>
    <w:multiLevelType w:val="singleLevel"/>
    <w:tmpl w:val="832E08D8"/>
    <w:lvl w:ilvl="0">
      <w:start w:val="1"/>
      <w:numFmt w:val="decimal"/>
      <w:lvlText w:val="%1)"/>
      <w:legacy w:legacy="1" w:legacySpace="0" w:legacyIndent="216"/>
      <w:lvlJc w:val="left"/>
      <w:pPr>
        <w:ind w:left="456" w:hanging="216"/>
      </w:pPr>
    </w:lvl>
  </w:abstractNum>
  <w:abstractNum w:abstractNumId="24">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7">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DC3293B"/>
    <w:multiLevelType w:val="singleLevel"/>
    <w:tmpl w:val="3A8EC28E"/>
    <w:lvl w:ilvl="0">
      <w:start w:val="1"/>
      <w:numFmt w:val="decimal"/>
      <w:lvlText w:val="[%1]"/>
      <w:lvlJc w:val="left"/>
      <w:pPr>
        <w:tabs>
          <w:tab w:val="num" w:pos="360"/>
        </w:tabs>
        <w:ind w:left="360" w:hanging="360"/>
      </w:pPr>
    </w:lvl>
  </w:abstractNum>
  <w:abstractNum w:abstractNumId="34">
    <w:nsid w:val="6E8D624A"/>
    <w:multiLevelType w:val="hybridMultilevel"/>
    <w:tmpl w:val="110E841C"/>
    <w:lvl w:ilvl="0" w:tplc="948A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41AFF"/>
    <w:multiLevelType w:val="singleLevel"/>
    <w:tmpl w:val="832E08D8"/>
    <w:lvl w:ilvl="0">
      <w:start w:val="1"/>
      <w:numFmt w:val="decimal"/>
      <w:lvlText w:val="%1)"/>
      <w:legacy w:legacy="1" w:legacySpace="0" w:legacyIndent="216"/>
      <w:lvlJc w:val="left"/>
      <w:pPr>
        <w:ind w:left="456" w:hanging="216"/>
      </w:pPr>
    </w:lvl>
  </w:abstractNum>
  <w:abstractNum w:abstractNumId="36">
    <w:nsid w:val="77E315E9"/>
    <w:multiLevelType w:val="singleLevel"/>
    <w:tmpl w:val="0BEC9FB0"/>
    <w:lvl w:ilvl="0">
      <w:start w:val="1"/>
      <w:numFmt w:val="none"/>
      <w:lvlText w:val=""/>
      <w:legacy w:legacy="1" w:legacySpace="0" w:legacyIndent="0"/>
      <w:lvlJc w:val="left"/>
      <w:pPr>
        <w:ind w:left="288"/>
      </w:pPr>
    </w:lvl>
  </w:abstractNum>
  <w:abstractNum w:abstractNumId="37">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3">
    <w:abstractNumId w:val="16"/>
  </w:num>
  <w:num w:numId="4">
    <w:abstractNumId w:val="23"/>
  </w:num>
  <w:num w:numId="5">
    <w:abstractNumId w:val="35"/>
  </w:num>
  <w:num w:numId="6">
    <w:abstractNumId w:val="11"/>
  </w:num>
  <w:num w:numId="7">
    <w:abstractNumId w:val="18"/>
  </w:num>
  <w:num w:numId="8">
    <w:abstractNumId w:val="9"/>
  </w:num>
  <w:num w:numId="9">
    <w:abstractNumId w:val="8"/>
  </w:num>
  <w:num w:numId="10">
    <w:abstractNumId w:val="0"/>
  </w:num>
  <w:num w:numId="11">
    <w:abstractNumId w:val="17"/>
  </w:num>
  <w:num w:numId="12">
    <w:abstractNumId w:val="17"/>
    <w:lvlOverride w:ilvl="0">
      <w:lvl w:ilvl="0">
        <w:start w:val="1"/>
        <w:numFmt w:val="decimal"/>
        <w:lvlText w:val="%1."/>
        <w:legacy w:legacy="1" w:legacySpace="0" w:legacyIndent="360"/>
        <w:lvlJc w:val="left"/>
        <w:pPr>
          <w:ind w:left="360" w:hanging="360"/>
        </w:pPr>
      </w:lvl>
    </w:lvlOverride>
  </w:num>
  <w:num w:numId="13">
    <w:abstractNumId w:val="24"/>
  </w:num>
  <w:num w:numId="14">
    <w:abstractNumId w:val="24"/>
    <w:lvlOverride w:ilvl="0">
      <w:lvl w:ilvl="0">
        <w:start w:val="1"/>
        <w:numFmt w:val="decimal"/>
        <w:lvlText w:val="%1."/>
        <w:legacy w:legacy="1" w:legacySpace="0" w:legacyIndent="360"/>
        <w:lvlJc w:val="left"/>
        <w:pPr>
          <w:ind w:left="360" w:hanging="360"/>
        </w:pPr>
      </w:lvl>
    </w:lvlOverride>
  </w:num>
  <w:num w:numId="15">
    <w:abstractNumId w:val="19"/>
  </w:num>
  <w:num w:numId="16">
    <w:abstractNumId w:val="12"/>
  </w:num>
  <w:num w:numId="17">
    <w:abstractNumId w:val="28"/>
  </w:num>
  <w:num w:numId="18">
    <w:abstractNumId w:val="25"/>
  </w:num>
  <w:num w:numId="19">
    <w:abstractNumId w:val="36"/>
  </w:num>
  <w:num w:numId="20">
    <w:abstractNumId w:val="14"/>
  </w:num>
  <w:num w:numId="21">
    <w:abstractNumId w:val="13"/>
  </w:num>
  <w:num w:numId="22">
    <w:abstractNumId w:val="33"/>
  </w:num>
  <w:num w:numId="23">
    <w:abstractNumId w:val="20"/>
  </w:num>
  <w:num w:numId="24">
    <w:abstractNumId w:val="30"/>
  </w:num>
  <w:num w:numId="25">
    <w:abstractNumId w:val="4"/>
  </w:num>
  <w:num w:numId="26">
    <w:abstractNumId w:val="2"/>
  </w:num>
  <w:num w:numId="27">
    <w:abstractNumId w:val="5"/>
  </w:num>
  <w:num w:numId="28">
    <w:abstractNumId w:val="21"/>
  </w:num>
  <w:num w:numId="29">
    <w:abstractNumId w:val="37"/>
  </w:num>
  <w:num w:numId="30">
    <w:abstractNumId w:val="26"/>
  </w:num>
  <w:num w:numId="31">
    <w:abstractNumId w:val="22"/>
  </w:num>
  <w:num w:numId="32">
    <w:abstractNumId w:val="29"/>
  </w:num>
  <w:num w:numId="33">
    <w:abstractNumId w:val="31"/>
  </w:num>
  <w:num w:numId="34">
    <w:abstractNumId w:val="6"/>
  </w:num>
  <w:num w:numId="35">
    <w:abstractNumId w:val="7"/>
  </w:num>
  <w:num w:numId="36">
    <w:abstractNumId w:val="15"/>
  </w:num>
  <w:num w:numId="37">
    <w:abstractNumId w:val="32"/>
  </w:num>
  <w:num w:numId="38">
    <w:abstractNumId w:val="27"/>
  </w:num>
  <w:num w:numId="39">
    <w:abstractNumId w:val="3"/>
  </w:num>
  <w:num w:numId="40">
    <w:abstractNumId w:val="34"/>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attachedTemplate r:id="rId1"/>
  <w:linkStyles/>
  <w:stylePaneFormatFilter w:val="3F01"/>
  <w:defaultTabStop w:val="720"/>
  <w:autoHyphenation/>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useFELayout/>
  </w:compat>
  <w:docVars>
    <w:docVar w:name="EN.InstantFormat" w:val="&lt;ENInstantFormat&gt;&lt;Enabled&gt;1&lt;/Enabled&gt;&lt;ScanUnformatted&gt;1&lt;/ScanUnformatted&gt;&lt;ScanChanges&gt;1&lt;/ScanChanges&gt;&lt;/ENInstantFormat&gt;"/>
    <w:docVar w:name="EN.Libraries" w:val="&lt;ENLibraries&gt;&lt;Libraries&gt;&lt;item&gt;Bibliography.enl&lt;/item&gt;&lt;/Libraries&gt;&lt;/ENLibraries&gt;"/>
  </w:docVars>
  <w:rsids>
    <w:rsidRoot w:val="00B0608E"/>
    <w:rsid w:val="0000503C"/>
    <w:rsid w:val="00092627"/>
    <w:rsid w:val="00092745"/>
    <w:rsid w:val="000B421A"/>
    <w:rsid w:val="000C6C81"/>
    <w:rsid w:val="000D55DA"/>
    <w:rsid w:val="000E2FF0"/>
    <w:rsid w:val="000E75F8"/>
    <w:rsid w:val="00110DEE"/>
    <w:rsid w:val="001227B6"/>
    <w:rsid w:val="00133AFB"/>
    <w:rsid w:val="00153232"/>
    <w:rsid w:val="0016039A"/>
    <w:rsid w:val="00170A3E"/>
    <w:rsid w:val="001A7A4B"/>
    <w:rsid w:val="001B6B08"/>
    <w:rsid w:val="001E1286"/>
    <w:rsid w:val="002234E1"/>
    <w:rsid w:val="00230ABB"/>
    <w:rsid w:val="00257AA7"/>
    <w:rsid w:val="00277A91"/>
    <w:rsid w:val="002C6F5D"/>
    <w:rsid w:val="002D0D09"/>
    <w:rsid w:val="002E6EE2"/>
    <w:rsid w:val="002E76E8"/>
    <w:rsid w:val="002F3A32"/>
    <w:rsid w:val="003070D7"/>
    <w:rsid w:val="0031012B"/>
    <w:rsid w:val="003120BC"/>
    <w:rsid w:val="0032678E"/>
    <w:rsid w:val="00333632"/>
    <w:rsid w:val="00355E4A"/>
    <w:rsid w:val="00361779"/>
    <w:rsid w:val="00366415"/>
    <w:rsid w:val="003801E5"/>
    <w:rsid w:val="003930A2"/>
    <w:rsid w:val="00395929"/>
    <w:rsid w:val="003C71FB"/>
    <w:rsid w:val="003D2DAB"/>
    <w:rsid w:val="00422233"/>
    <w:rsid w:val="00427744"/>
    <w:rsid w:val="00442133"/>
    <w:rsid w:val="0044537E"/>
    <w:rsid w:val="0047435F"/>
    <w:rsid w:val="004A19BE"/>
    <w:rsid w:val="004B6ADC"/>
    <w:rsid w:val="004D3325"/>
    <w:rsid w:val="00501E98"/>
    <w:rsid w:val="005211DC"/>
    <w:rsid w:val="00524FE6"/>
    <w:rsid w:val="00536B1C"/>
    <w:rsid w:val="00550ECA"/>
    <w:rsid w:val="005570C1"/>
    <w:rsid w:val="00581D8B"/>
    <w:rsid w:val="005B0537"/>
    <w:rsid w:val="005B58EA"/>
    <w:rsid w:val="005B61CC"/>
    <w:rsid w:val="005C5EA6"/>
    <w:rsid w:val="005D066B"/>
    <w:rsid w:val="005D5795"/>
    <w:rsid w:val="006245D6"/>
    <w:rsid w:val="006650DE"/>
    <w:rsid w:val="00692DEC"/>
    <w:rsid w:val="00694095"/>
    <w:rsid w:val="006E3F92"/>
    <w:rsid w:val="006F406D"/>
    <w:rsid w:val="0076738E"/>
    <w:rsid w:val="00776015"/>
    <w:rsid w:val="00776F41"/>
    <w:rsid w:val="00787606"/>
    <w:rsid w:val="0079632F"/>
    <w:rsid w:val="007A49A8"/>
    <w:rsid w:val="007B61B1"/>
    <w:rsid w:val="007C3765"/>
    <w:rsid w:val="007D40DC"/>
    <w:rsid w:val="007F2C37"/>
    <w:rsid w:val="007F735C"/>
    <w:rsid w:val="00804DB2"/>
    <w:rsid w:val="008423A2"/>
    <w:rsid w:val="00850DA3"/>
    <w:rsid w:val="008574CF"/>
    <w:rsid w:val="00865A09"/>
    <w:rsid w:val="008A00F3"/>
    <w:rsid w:val="008B0AE6"/>
    <w:rsid w:val="008C466B"/>
    <w:rsid w:val="008C783B"/>
    <w:rsid w:val="008E6386"/>
    <w:rsid w:val="008F20A5"/>
    <w:rsid w:val="00917CAE"/>
    <w:rsid w:val="00920123"/>
    <w:rsid w:val="00943CEF"/>
    <w:rsid w:val="00956766"/>
    <w:rsid w:val="009636CA"/>
    <w:rsid w:val="00971F0F"/>
    <w:rsid w:val="00986664"/>
    <w:rsid w:val="009906D1"/>
    <w:rsid w:val="00992630"/>
    <w:rsid w:val="009A173A"/>
    <w:rsid w:val="009C0F57"/>
    <w:rsid w:val="009D4F40"/>
    <w:rsid w:val="009E2179"/>
    <w:rsid w:val="00A078B7"/>
    <w:rsid w:val="00A103DA"/>
    <w:rsid w:val="00A20393"/>
    <w:rsid w:val="00A21100"/>
    <w:rsid w:val="00A24939"/>
    <w:rsid w:val="00A33F82"/>
    <w:rsid w:val="00A37DF8"/>
    <w:rsid w:val="00A65380"/>
    <w:rsid w:val="00A723F7"/>
    <w:rsid w:val="00A90F13"/>
    <w:rsid w:val="00AF626F"/>
    <w:rsid w:val="00B02769"/>
    <w:rsid w:val="00B02E15"/>
    <w:rsid w:val="00B0608E"/>
    <w:rsid w:val="00B25DBB"/>
    <w:rsid w:val="00B26B15"/>
    <w:rsid w:val="00B35AB8"/>
    <w:rsid w:val="00B3650C"/>
    <w:rsid w:val="00B510DE"/>
    <w:rsid w:val="00B84595"/>
    <w:rsid w:val="00B96700"/>
    <w:rsid w:val="00C20B8A"/>
    <w:rsid w:val="00C26836"/>
    <w:rsid w:val="00C32A84"/>
    <w:rsid w:val="00C34EB3"/>
    <w:rsid w:val="00C44326"/>
    <w:rsid w:val="00C74806"/>
    <w:rsid w:val="00CA4483"/>
    <w:rsid w:val="00CB7E67"/>
    <w:rsid w:val="00CD4A97"/>
    <w:rsid w:val="00CE6BA3"/>
    <w:rsid w:val="00D264E4"/>
    <w:rsid w:val="00D37EA8"/>
    <w:rsid w:val="00D62C47"/>
    <w:rsid w:val="00DA7C63"/>
    <w:rsid w:val="00DB74DF"/>
    <w:rsid w:val="00DC5812"/>
    <w:rsid w:val="00DD0277"/>
    <w:rsid w:val="00DE35FD"/>
    <w:rsid w:val="00DE6AA0"/>
    <w:rsid w:val="00E207F8"/>
    <w:rsid w:val="00E25878"/>
    <w:rsid w:val="00E43EEA"/>
    <w:rsid w:val="00E9365D"/>
    <w:rsid w:val="00E96F95"/>
    <w:rsid w:val="00EB75B3"/>
    <w:rsid w:val="00ED2E44"/>
    <w:rsid w:val="00EF6111"/>
    <w:rsid w:val="00F26B56"/>
    <w:rsid w:val="00F30CE5"/>
    <w:rsid w:val="00F62296"/>
    <w:rsid w:val="00F70957"/>
    <w:rsid w:val="00FA2EB5"/>
    <w:rsid w:val="00FB0574"/>
    <w:rsid w:val="00FC095D"/>
    <w:rsid w:val="00FE0727"/>
    <w:rsid w:val="00FE2854"/>
    <w:rsid w:val="00FE3B71"/>
    <w:rsid w:val="00FF144B"/>
    <w:rsid w:val="00FF1BE8"/>
    <w:rsid w:val="00FF4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fill="f" fillcolor="black" stroke="f">
      <v:fill color="black"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C81"/>
    <w:pPr>
      <w:widowControl w:val="0"/>
      <w:spacing w:line="230" w:lineRule="exact"/>
      <w:ind w:firstLine="144"/>
      <w:jc w:val="both"/>
    </w:pPr>
    <w:rPr>
      <w:rFonts w:ascii="Palatino" w:hAnsi="Palatino"/>
      <w:kern w:val="16"/>
      <w:sz w:val="19"/>
    </w:rPr>
  </w:style>
  <w:style w:type="paragraph" w:styleId="Heading1">
    <w:name w:val="heading 1"/>
    <w:basedOn w:val="PARAGRAPH"/>
    <w:next w:val="PARAGRAPHnoindent"/>
    <w:qFormat/>
    <w:rsid w:val="00E17065"/>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E17065"/>
    <w:pPr>
      <w:spacing w:before="160" w:after="40" w:line="220" w:lineRule="exact"/>
      <w:ind w:left="360" w:hanging="360"/>
      <w:outlineLvl w:val="1"/>
    </w:pPr>
    <w:rPr>
      <w:smallCaps w:val="0"/>
      <w:sz w:val="20"/>
    </w:rPr>
  </w:style>
  <w:style w:type="paragraph" w:styleId="Heading3">
    <w:name w:val="heading 3"/>
    <w:basedOn w:val="Heading2"/>
    <w:next w:val="PARAGRAPHnoindent"/>
    <w:qFormat/>
    <w:rsid w:val="00E17065"/>
    <w:pPr>
      <w:ind w:left="520" w:hanging="520"/>
      <w:outlineLvl w:val="2"/>
    </w:pPr>
    <w:rPr>
      <w:b w:val="0"/>
      <w:i/>
    </w:rPr>
  </w:style>
  <w:style w:type="paragraph" w:styleId="Heading4">
    <w:name w:val="heading 4"/>
    <w:basedOn w:val="Normal"/>
    <w:next w:val="PARAGRAPHnoindent"/>
    <w:qFormat/>
    <w:rsid w:val="00E17065"/>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E17065"/>
    <w:pPr>
      <w:ind w:firstLine="240"/>
    </w:pPr>
  </w:style>
  <w:style w:type="paragraph" w:customStyle="1" w:styleId="PARAGRAPHnoindent">
    <w:name w:val="PARAGRAPH (no indent)"/>
    <w:basedOn w:val="PARAGRAPH"/>
    <w:next w:val="PARAGRAPH"/>
    <w:link w:val="PARAGRAPHnoindentChar"/>
    <w:rsid w:val="00E17065"/>
    <w:pPr>
      <w:ind w:firstLine="0"/>
    </w:pPr>
  </w:style>
  <w:style w:type="character" w:customStyle="1" w:styleId="ProgramCode">
    <w:name w:val="Program Code"/>
    <w:rsid w:val="00E17065"/>
    <w:rPr>
      <w:rFonts w:ascii="ProgramThree" w:hAnsi="ProgramThree"/>
      <w:color w:val="008080"/>
      <w:sz w:val="18"/>
    </w:rPr>
  </w:style>
  <w:style w:type="character" w:customStyle="1" w:styleId="Tablereferenceto">
    <w:name w:val="Table (reference to)"/>
    <w:rsid w:val="00E17065"/>
    <w:rPr>
      <w:color w:val="00FF00"/>
    </w:rPr>
  </w:style>
  <w:style w:type="character" w:styleId="FootnoteReference">
    <w:name w:val="footnote reference"/>
    <w:semiHidden/>
    <w:rsid w:val="00E17065"/>
    <w:rPr>
      <w:position w:val="0"/>
      <w:vertAlign w:val="superscript"/>
    </w:rPr>
  </w:style>
  <w:style w:type="paragraph" w:styleId="FootnoteText">
    <w:name w:val="footnote text"/>
    <w:basedOn w:val="PARAGRAPHnoindent"/>
    <w:semiHidden/>
    <w:rsid w:val="00E17065"/>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E17065"/>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E17065"/>
    <w:pPr>
      <w:spacing w:after="480" w:line="280" w:lineRule="exact"/>
    </w:pPr>
    <w:rPr>
      <w:spacing w:val="5"/>
      <w:sz w:val="22"/>
    </w:rPr>
  </w:style>
  <w:style w:type="paragraph" w:customStyle="1" w:styleId="TABLEFOOTNOTE">
    <w:name w:val="TABLE FOOTNOTE"/>
    <w:basedOn w:val="Normal"/>
    <w:rsid w:val="00E17065"/>
    <w:pPr>
      <w:jc w:val="left"/>
    </w:pPr>
    <w:rPr>
      <w:i/>
      <w:sz w:val="16"/>
    </w:rPr>
  </w:style>
  <w:style w:type="paragraph" w:styleId="Header">
    <w:name w:val="header"/>
    <w:basedOn w:val="Normal"/>
    <w:rsid w:val="00E17065"/>
    <w:pPr>
      <w:tabs>
        <w:tab w:val="right" w:pos="10200"/>
      </w:tabs>
      <w:spacing w:line="220" w:lineRule="exact"/>
    </w:pPr>
    <w:rPr>
      <w:rFonts w:ascii="Helvetica" w:hAnsi="Helvetica"/>
      <w:caps/>
      <w:sz w:val="14"/>
    </w:rPr>
  </w:style>
  <w:style w:type="paragraph" w:customStyle="1" w:styleId="ABSTRACT">
    <w:name w:val="ABSTRACT"/>
    <w:basedOn w:val="PARAGRAPH"/>
    <w:link w:val="ABSTRACTChar"/>
    <w:rsid w:val="00E17065"/>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E17065"/>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E17065"/>
    <w:pPr>
      <w:spacing w:before="40" w:after="40"/>
    </w:pPr>
    <w:rPr>
      <w:sz w:val="18"/>
    </w:rPr>
  </w:style>
  <w:style w:type="paragraph" w:customStyle="1" w:styleId="TABLETITLE">
    <w:name w:val="TABLE TITLE"/>
    <w:basedOn w:val="Normal"/>
    <w:next w:val="TABLECOLUMNHEADER"/>
    <w:rsid w:val="00E17065"/>
    <w:pPr>
      <w:keepNext/>
      <w:spacing w:before="160" w:after="80" w:line="200" w:lineRule="exact"/>
      <w:jc w:val="center"/>
    </w:pPr>
    <w:rPr>
      <w:rFonts w:ascii="Helvetica" w:hAnsi="Helvetica"/>
      <w:smallCaps/>
    </w:rPr>
  </w:style>
  <w:style w:type="paragraph" w:customStyle="1" w:styleId="FIGURECAPTION">
    <w:name w:val="FIGURE CAPTION"/>
    <w:basedOn w:val="PARAGRAPHnoindent"/>
    <w:link w:val="FIGURECAPTIONChar"/>
    <w:rsid w:val="00E17065"/>
    <w:pPr>
      <w:spacing w:after="320" w:line="180" w:lineRule="exact"/>
    </w:pPr>
    <w:rPr>
      <w:rFonts w:ascii="Helvetica" w:hAnsi="Helvetica"/>
      <w:sz w:val="16"/>
    </w:rPr>
  </w:style>
  <w:style w:type="paragraph" w:customStyle="1" w:styleId="QUOTATIONBLOCKSTYLE">
    <w:name w:val="QUOTATION BLOCK STYLE"/>
    <w:basedOn w:val="PARAGRAPHnoindent"/>
    <w:rsid w:val="00E17065"/>
    <w:pPr>
      <w:spacing w:before="80" w:after="80"/>
      <w:ind w:left="240" w:right="240"/>
    </w:pPr>
    <w:rPr>
      <w:sz w:val="16"/>
    </w:rPr>
  </w:style>
  <w:style w:type="paragraph" w:customStyle="1" w:styleId="LISTTYPE2aNumber">
    <w:name w:val="LIST TYPE 2a (Number)"/>
    <w:basedOn w:val="LISTTYPE2Number"/>
    <w:next w:val="LISTTYPE2Number"/>
    <w:rsid w:val="00E17065"/>
    <w:pPr>
      <w:spacing w:before="80"/>
    </w:pPr>
  </w:style>
  <w:style w:type="paragraph" w:customStyle="1" w:styleId="LISTTYPE2Number">
    <w:name w:val="LIST TYPE 2 (Number)"/>
    <w:basedOn w:val="LISTTYPE1Bullet"/>
    <w:rsid w:val="00E17065"/>
  </w:style>
  <w:style w:type="paragraph" w:customStyle="1" w:styleId="LISTTYPE1Bullet">
    <w:name w:val="LIST TYPE 1 (Bullet)"/>
    <w:basedOn w:val="PARAGRAPH"/>
    <w:rsid w:val="00E17065"/>
    <w:pPr>
      <w:numPr>
        <w:numId w:val="9"/>
      </w:numPr>
      <w:tabs>
        <w:tab w:val="clear" w:pos="576"/>
      </w:tabs>
      <w:ind w:left="480" w:hanging="240"/>
    </w:pPr>
  </w:style>
  <w:style w:type="paragraph" w:customStyle="1" w:styleId="BIBREFTEXT">
    <w:name w:val="BIB. REF. TEXT"/>
    <w:basedOn w:val="PARAGRAPHnoindent"/>
    <w:rsid w:val="00E17065"/>
    <w:pPr>
      <w:widowControl/>
      <w:tabs>
        <w:tab w:val="left" w:pos="432"/>
      </w:tabs>
      <w:spacing w:line="180" w:lineRule="exact"/>
      <w:ind w:left="360" w:hanging="360"/>
    </w:pPr>
    <w:rPr>
      <w:sz w:val="16"/>
    </w:rPr>
  </w:style>
  <w:style w:type="paragraph" w:customStyle="1" w:styleId="CCCLINE">
    <w:name w:val="CCC LINE"/>
    <w:basedOn w:val="PARAGRAPHnoindent"/>
    <w:rsid w:val="00E17065"/>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E17065"/>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E17065"/>
    <w:pPr>
      <w:spacing w:before="80"/>
    </w:pPr>
  </w:style>
  <w:style w:type="paragraph" w:customStyle="1" w:styleId="LISTTYPE2zNumber">
    <w:name w:val="LIST TYPE 2z (Number)"/>
    <w:basedOn w:val="LISTTYPE2Number"/>
    <w:next w:val="PARAGRAPH"/>
    <w:rsid w:val="00E17065"/>
    <w:pPr>
      <w:spacing w:after="80"/>
    </w:pPr>
  </w:style>
  <w:style w:type="paragraph" w:customStyle="1" w:styleId="VITA">
    <w:name w:val="VITA"/>
    <w:basedOn w:val="PARAGRAPHnoindent"/>
    <w:link w:val="VITAChar"/>
    <w:rsid w:val="00E17065"/>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E17065"/>
    <w:pPr>
      <w:spacing w:after="80"/>
    </w:pPr>
  </w:style>
  <w:style w:type="paragraph" w:customStyle="1" w:styleId="FIGUREBODY">
    <w:name w:val="FIGURE BODY"/>
    <w:basedOn w:val="PROGRAMSEGMENT"/>
    <w:rsid w:val="00E17065"/>
    <w:pPr>
      <w:spacing w:line="180" w:lineRule="exact"/>
    </w:pPr>
    <w:rPr>
      <w:rFonts w:ascii="Palatino" w:hAnsi="Palatino"/>
      <w:sz w:val="16"/>
    </w:rPr>
  </w:style>
  <w:style w:type="paragraph" w:customStyle="1" w:styleId="FORMULA">
    <w:name w:val="FORMULA"/>
    <w:basedOn w:val="Normal"/>
    <w:rsid w:val="00E17065"/>
    <w:pPr>
      <w:spacing w:before="80" w:after="80" w:line="240" w:lineRule="atLeast"/>
      <w:jc w:val="center"/>
    </w:pPr>
  </w:style>
  <w:style w:type="character" w:customStyle="1" w:styleId="Url">
    <w:name w:val="Url"/>
    <w:basedOn w:val="DefaultParagraphFont"/>
    <w:rsid w:val="00E17065"/>
    <w:rPr>
      <w:rFonts w:ascii="Helvetica Condensed" w:hAnsi="Helvetica Condensed"/>
      <w:color w:val="008000"/>
      <w:sz w:val="18"/>
    </w:rPr>
  </w:style>
  <w:style w:type="paragraph" w:styleId="Footer">
    <w:name w:val="footer"/>
    <w:basedOn w:val="Normal"/>
    <w:rsid w:val="00E17065"/>
    <w:pPr>
      <w:tabs>
        <w:tab w:val="center" w:pos="4320"/>
        <w:tab w:val="right" w:pos="8640"/>
      </w:tabs>
    </w:pPr>
  </w:style>
  <w:style w:type="paragraph" w:customStyle="1" w:styleId="ACKHEAD">
    <w:name w:val="ACK. HEAD"/>
    <w:basedOn w:val="Heading1"/>
    <w:next w:val="ACKNOWLEDGMENTS"/>
    <w:rsid w:val="00E17065"/>
    <w:pPr>
      <w:outlineLvl w:val="9"/>
    </w:pPr>
  </w:style>
  <w:style w:type="paragraph" w:customStyle="1" w:styleId="ACKNOWLEDGMENTS">
    <w:name w:val="ACKNOWLEDGMENTS"/>
    <w:basedOn w:val="PARAGRAPHnoindent"/>
    <w:rsid w:val="00E17065"/>
  </w:style>
  <w:style w:type="character" w:styleId="PageNumber">
    <w:name w:val="page number"/>
    <w:basedOn w:val="DefaultParagraphFont"/>
    <w:rsid w:val="00E17065"/>
  </w:style>
  <w:style w:type="paragraph" w:customStyle="1" w:styleId="ART">
    <w:name w:val="ART"/>
    <w:basedOn w:val="Normal"/>
    <w:next w:val="Normal"/>
    <w:rsid w:val="00E17065"/>
    <w:pPr>
      <w:keepNext/>
      <w:spacing w:before="240" w:after="160" w:line="220" w:lineRule="atLeast"/>
      <w:jc w:val="center"/>
    </w:pPr>
  </w:style>
  <w:style w:type="paragraph" w:customStyle="1" w:styleId="AUTHORAFFILIATION">
    <w:name w:val="AUTHOR AFFILIATION"/>
    <w:basedOn w:val="PARAGRAPHnoindent"/>
    <w:rsid w:val="00E17065"/>
    <w:pPr>
      <w:framePr w:w="5040" w:vSpace="200" w:wrap="auto" w:hAnchor="text" w:yAlign="bottom"/>
      <w:spacing w:line="180" w:lineRule="exact"/>
    </w:pPr>
    <w:rPr>
      <w:i/>
      <w:sz w:val="16"/>
    </w:rPr>
  </w:style>
  <w:style w:type="paragraph" w:customStyle="1" w:styleId="BIBHEAD">
    <w:name w:val="BIB. HEAD"/>
    <w:basedOn w:val="Heading1"/>
    <w:next w:val="BIBREFTEXT"/>
    <w:rsid w:val="00E17065"/>
    <w:pPr>
      <w:outlineLvl w:val="9"/>
    </w:pPr>
  </w:style>
  <w:style w:type="character" w:customStyle="1" w:styleId="BibRef">
    <w:name w:val="Bib. Ref."/>
    <w:rsid w:val="00E17065"/>
    <w:rPr>
      <w:color w:val="800080"/>
    </w:rPr>
  </w:style>
  <w:style w:type="paragraph" w:customStyle="1" w:styleId="CONCLUSION">
    <w:name w:val="CONCLUSION"/>
    <w:basedOn w:val="PARAGRAPHnoindent"/>
    <w:next w:val="PARAGRAPH"/>
    <w:rsid w:val="00E17065"/>
  </w:style>
  <w:style w:type="character" w:customStyle="1" w:styleId="Figurereferenceto">
    <w:name w:val="Figure (reference to)"/>
    <w:rsid w:val="00E17065"/>
    <w:rPr>
      <w:color w:val="FF0000"/>
    </w:rPr>
  </w:style>
  <w:style w:type="paragraph" w:customStyle="1" w:styleId="FOOTNOTE">
    <w:name w:val="FOOTNOTE"/>
    <w:basedOn w:val="FootnoteText"/>
    <w:rsid w:val="00E17065"/>
    <w:pPr>
      <w:framePr w:wrap="notBeside"/>
    </w:pPr>
  </w:style>
  <w:style w:type="character" w:customStyle="1" w:styleId="Footnotereferenceto">
    <w:name w:val="Footnote (reference to)"/>
    <w:basedOn w:val="FootnoteReference"/>
    <w:rsid w:val="00E17065"/>
    <w:rPr>
      <w:color w:val="008000"/>
      <w:position w:val="-2"/>
      <w:sz w:val="25"/>
    </w:rPr>
  </w:style>
  <w:style w:type="paragraph" w:customStyle="1" w:styleId="INTRODUCTION">
    <w:name w:val="INTRODUCTION"/>
    <w:basedOn w:val="PARAGRAPHnoindent"/>
    <w:next w:val="PARAGRAPH"/>
    <w:rsid w:val="00E17065"/>
  </w:style>
  <w:style w:type="paragraph" w:customStyle="1" w:styleId="KEYWORD">
    <w:name w:val="KEY WORD"/>
    <w:basedOn w:val="ABSTRACT"/>
    <w:next w:val="Normal"/>
    <w:rsid w:val="00E17065"/>
    <w:pPr>
      <w:spacing w:after="0"/>
    </w:pPr>
  </w:style>
  <w:style w:type="character" w:customStyle="1" w:styleId="MemberType">
    <w:name w:val="MemberType"/>
    <w:basedOn w:val="DefaultParagraphFont"/>
    <w:rsid w:val="00E17065"/>
    <w:rPr>
      <w:rFonts w:ascii="Times New Roman" w:hAnsi="Times New Roman" w:cs="Times New Roman"/>
      <w:i/>
      <w:iCs/>
      <w:sz w:val="22"/>
      <w:szCs w:val="22"/>
    </w:rPr>
  </w:style>
  <w:style w:type="paragraph" w:customStyle="1" w:styleId="FigureCaption0">
    <w:name w:val="Figure Caption"/>
    <w:basedOn w:val="Normal"/>
    <w:rsid w:val="00E17065"/>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E17065"/>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E17065"/>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E17065"/>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E17065"/>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E17065"/>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E17065"/>
    <w:rPr>
      <w:rFonts w:ascii="Arial" w:hAnsi="Arial" w:cs="Arial" w:hint="default"/>
      <w:color w:val="003399"/>
      <w:u w:val="single"/>
    </w:rPr>
  </w:style>
  <w:style w:type="paragraph" w:styleId="NormalWeb">
    <w:name w:val="Normal (Web)"/>
    <w:basedOn w:val="Normal"/>
    <w:rsid w:val="00E17065"/>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E17065"/>
    <w:rPr>
      <w:color w:val="800080"/>
      <w:u w:val="single"/>
    </w:rPr>
  </w:style>
  <w:style w:type="character" w:styleId="Strong">
    <w:name w:val="Strong"/>
    <w:basedOn w:val="DefaultParagraphFont"/>
    <w:qFormat/>
    <w:rsid w:val="00E17065"/>
    <w:rPr>
      <w:b/>
      <w:bCs/>
    </w:rPr>
  </w:style>
  <w:style w:type="paragraph" w:customStyle="1" w:styleId="Body">
    <w:name w:val="Body"/>
    <w:basedOn w:val="Normal"/>
    <w:autoRedefine/>
    <w:rsid w:val="00060638"/>
    <w:pPr>
      <w:widowControl/>
      <w:autoSpaceDE w:val="0"/>
      <w:autoSpaceDN w:val="0"/>
      <w:adjustRightInd w:val="0"/>
      <w:spacing w:line="200" w:lineRule="exact"/>
      <w:ind w:firstLine="170"/>
    </w:pPr>
    <w:rPr>
      <w:rFonts w:ascii="Times" w:hAnsi="Times"/>
      <w:kern w:val="0"/>
      <w:sz w:val="18"/>
    </w:rPr>
  </w:style>
  <w:style w:type="paragraph" w:styleId="EndnoteText">
    <w:name w:val="endnote text"/>
    <w:basedOn w:val="Normal"/>
    <w:semiHidden/>
    <w:rsid w:val="00060638"/>
    <w:pPr>
      <w:widowControl/>
      <w:spacing w:line="240" w:lineRule="auto"/>
    </w:pPr>
    <w:rPr>
      <w:rFonts w:ascii="Times" w:hAnsi="Times"/>
      <w:kern w:val="0"/>
      <w:sz w:val="16"/>
      <w:lang w:val="en-GB"/>
    </w:rPr>
  </w:style>
  <w:style w:type="character" w:styleId="EndnoteReference">
    <w:name w:val="endnote reference"/>
    <w:basedOn w:val="DefaultParagraphFont"/>
    <w:semiHidden/>
    <w:rsid w:val="00060638"/>
    <w:rPr>
      <w:vertAlign w:val="baseline"/>
    </w:rPr>
  </w:style>
  <w:style w:type="paragraph" w:styleId="Caption">
    <w:name w:val="caption"/>
    <w:aliases w:val="Table Caption"/>
    <w:basedOn w:val="Normal"/>
    <w:next w:val="Normal"/>
    <w:autoRedefine/>
    <w:qFormat/>
    <w:rsid w:val="00DB74DF"/>
    <w:pPr>
      <w:keepNext/>
      <w:widowControl/>
      <w:spacing w:before="120" w:after="120" w:line="200" w:lineRule="exact"/>
      <w:jc w:val="left"/>
    </w:pPr>
    <w:rPr>
      <w:rFonts w:ascii="Arial" w:hAnsi="Arial"/>
      <w:kern w:val="0"/>
      <w:sz w:val="20"/>
    </w:rPr>
  </w:style>
  <w:style w:type="table" w:styleId="TableGrid">
    <w:name w:val="Table Grid"/>
    <w:basedOn w:val="TableNormal"/>
    <w:rsid w:val="001A3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Char">
    <w:name w:val="PARAGRAPH Char"/>
    <w:basedOn w:val="DefaultParagraphFont"/>
    <w:link w:val="PARAGRAPH"/>
    <w:rsid w:val="005654A8"/>
    <w:rPr>
      <w:rFonts w:ascii="Palatino" w:hAnsi="Palatino"/>
      <w:kern w:val="16"/>
      <w:sz w:val="19"/>
      <w:lang w:val="en-US" w:eastAsia="en-US" w:bidi="ar-SA"/>
    </w:rPr>
  </w:style>
  <w:style w:type="character" w:customStyle="1" w:styleId="PARAGRAPHnoindentChar">
    <w:name w:val="PARAGRAPH (no indent) Char"/>
    <w:basedOn w:val="PARAGRAPHChar"/>
    <w:link w:val="PARAGRAPHnoindent"/>
    <w:rsid w:val="00A55CA0"/>
  </w:style>
  <w:style w:type="character" w:customStyle="1" w:styleId="VITAChar">
    <w:name w:val="VITA Char"/>
    <w:basedOn w:val="PARAGRAPHnoindentChar"/>
    <w:link w:val="VITA"/>
    <w:rsid w:val="00A55CA0"/>
    <w:rPr>
      <w:rFonts w:ascii="Helvetica" w:hAnsi="Helvetica"/>
      <w:sz w:val="16"/>
    </w:rPr>
  </w:style>
  <w:style w:type="character" w:customStyle="1" w:styleId="ABSTRACTChar">
    <w:name w:val="ABSTRACT Char"/>
    <w:basedOn w:val="PARAGRAPHChar"/>
    <w:link w:val="ABSTRACT"/>
    <w:rsid w:val="00A52B51"/>
    <w:rPr>
      <w:rFonts w:ascii="Helvetica" w:hAnsi="Helvetica"/>
      <w:sz w:val="16"/>
    </w:rPr>
  </w:style>
  <w:style w:type="character" w:styleId="CommentReference">
    <w:name w:val="annotation reference"/>
    <w:basedOn w:val="DefaultParagraphFont"/>
    <w:semiHidden/>
    <w:rsid w:val="00DE35FD"/>
    <w:rPr>
      <w:sz w:val="16"/>
      <w:szCs w:val="16"/>
    </w:rPr>
  </w:style>
  <w:style w:type="paragraph" w:styleId="CommentText">
    <w:name w:val="annotation text"/>
    <w:basedOn w:val="Normal"/>
    <w:link w:val="CommentTextChar"/>
    <w:semiHidden/>
    <w:rsid w:val="00DE35FD"/>
    <w:pPr>
      <w:suppressAutoHyphens/>
      <w:spacing w:line="240" w:lineRule="auto"/>
      <w:ind w:firstLine="432"/>
    </w:pPr>
    <w:rPr>
      <w:rFonts w:ascii="Times New Roman" w:eastAsia="Verdana" w:hAnsi="Times New Roman"/>
      <w:kern w:val="0"/>
      <w:sz w:val="22"/>
    </w:rPr>
  </w:style>
  <w:style w:type="paragraph" w:styleId="BalloonText">
    <w:name w:val="Balloon Text"/>
    <w:basedOn w:val="Normal"/>
    <w:semiHidden/>
    <w:rsid w:val="00DE35FD"/>
    <w:rPr>
      <w:rFonts w:ascii="Tahoma" w:hAnsi="Tahoma" w:cs="Tahoma"/>
      <w:sz w:val="16"/>
      <w:szCs w:val="16"/>
    </w:rPr>
  </w:style>
  <w:style w:type="character" w:customStyle="1" w:styleId="EndnoteCharacters">
    <w:name w:val="Endnote Characters"/>
    <w:rsid w:val="00DE35FD"/>
  </w:style>
  <w:style w:type="character" w:customStyle="1" w:styleId="FootnoteCharacters">
    <w:name w:val="Footnote Characters"/>
    <w:rsid w:val="00DE35FD"/>
  </w:style>
  <w:style w:type="paragraph" w:styleId="BodyText">
    <w:name w:val="Body Text"/>
    <w:basedOn w:val="Normal"/>
    <w:rsid w:val="00A078B7"/>
    <w:pPr>
      <w:suppressAutoHyphens/>
      <w:spacing w:line="240" w:lineRule="auto"/>
    </w:pPr>
    <w:rPr>
      <w:rFonts w:ascii="Verdana" w:eastAsia="Verdana" w:hAnsi="Verdana" w:cs="Verdana"/>
      <w:kern w:val="0"/>
      <w:sz w:val="20"/>
    </w:rPr>
  </w:style>
  <w:style w:type="character" w:customStyle="1" w:styleId="FIGURECAPTIONChar">
    <w:name w:val="FIGURE CAPTION Char"/>
    <w:basedOn w:val="PARAGRAPHnoindentChar"/>
    <w:link w:val="FIGURECAPTION"/>
    <w:rsid w:val="00550ECA"/>
    <w:rPr>
      <w:rFonts w:ascii="Helvetica" w:hAnsi="Helvetica"/>
      <w:sz w:val="16"/>
    </w:rPr>
  </w:style>
  <w:style w:type="paragraph" w:styleId="CommentSubject">
    <w:name w:val="annotation subject"/>
    <w:basedOn w:val="CommentText"/>
    <w:next w:val="CommentText"/>
    <w:link w:val="CommentSubjectChar"/>
    <w:rsid w:val="00B02E15"/>
    <w:pPr>
      <w:suppressAutoHyphens w:val="0"/>
      <w:spacing w:line="230" w:lineRule="exact"/>
      <w:ind w:firstLine="144"/>
    </w:pPr>
    <w:rPr>
      <w:rFonts w:ascii="Palatino" w:eastAsia="Batang" w:hAnsi="Palatino"/>
      <w:b/>
      <w:bCs/>
      <w:kern w:val="16"/>
      <w:sz w:val="20"/>
    </w:rPr>
  </w:style>
  <w:style w:type="character" w:customStyle="1" w:styleId="CommentTextChar">
    <w:name w:val="Comment Text Char"/>
    <w:basedOn w:val="DefaultParagraphFont"/>
    <w:link w:val="CommentText"/>
    <w:semiHidden/>
    <w:rsid w:val="00B02E15"/>
    <w:rPr>
      <w:rFonts w:eastAsia="Verdana"/>
      <w:sz w:val="22"/>
    </w:rPr>
  </w:style>
  <w:style w:type="character" w:customStyle="1" w:styleId="CommentSubjectChar">
    <w:name w:val="Comment Subject Char"/>
    <w:basedOn w:val="CommentTextChar"/>
    <w:link w:val="CommentSubject"/>
    <w:rsid w:val="00B02E15"/>
  </w:style>
  <w:style w:type="paragraph" w:styleId="Revision">
    <w:name w:val="Revision"/>
    <w:hidden/>
    <w:uiPriority w:val="99"/>
    <w:semiHidden/>
    <w:rsid w:val="00B02E15"/>
    <w:rPr>
      <w:rFonts w:ascii="Palatino" w:hAnsi="Palatino"/>
      <w:kern w:val="16"/>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3.interscience.wiley.com/cgi-bin/fulltext/113391281/PDFST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My%20Documents\Papers%20Submitted%20for%20Publication\Visualization%202006\Visualization%202006%20Transitional%20Flow%20Apps%20Paper\TVCG%20Paper\IEEE%20CS%20Word%202000%20template%20(rev.%205-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aaadf</b:Tag>
    <b:SourceType>JournalArticle</b:SourceType>
    <b:Guid>{B71CD6B2-163F-4222-8B55-5DA3B374B0AD}</b:Guid>
    <b:LCID>0</b:LCID>
    <b:Author>
      <b:Author>
        <b:NameList>
          <b:Person>
            <b:Last>aaa</b:Last>
          </b:Person>
        </b:NameList>
      </b:Author>
    </b:Author>
    <b:Title>sd</b:Title>
    <b:Year>sdf</b:Year>
    <b:JournalName>fd</b:JournalName>
    <b:Pages>3</b:Pages>
    <b:RefOrder>2</b:RefOrder>
  </b:Source>
</b:Sources>
</file>

<file path=customXml/itemProps1.xml><?xml version="1.0" encoding="utf-8"?>
<ds:datastoreItem xmlns:ds="http://schemas.openxmlformats.org/officeDocument/2006/customXml" ds:itemID="{71BA6394-2280-4803-8585-09A502B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CS Word 2000 template (rev. 5-03).dot</Template>
  <TotalTime>22</TotalTime>
  <Pages>5</Pages>
  <Words>5610</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IEEE Computer Society</Company>
  <LinksUpToDate>false</LinksUpToDate>
  <CharactersWithSpaces>37518</CharactersWithSpaces>
  <SharedDoc>false</SharedDoc>
  <HLinks>
    <vt:vector size="6" baseType="variant">
      <vt:variant>
        <vt:i4>7995431</vt:i4>
      </vt:variant>
      <vt:variant>
        <vt:i4>42</vt:i4>
      </vt:variant>
      <vt:variant>
        <vt:i4>0</vt:i4>
      </vt:variant>
      <vt:variant>
        <vt:i4>5</vt:i4>
      </vt:variant>
      <vt:variant>
        <vt:lpwstr>http://www3.interscience.wiley.com/cgi-bin/fulltext/113391281/PDFSTART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subject/>
  <dc:creator>Kelly P. Gaither</dc:creator>
  <cp:keywords/>
  <dc:description>New styles and page layout for 1996.</dc:description>
  <cp:lastModifiedBy>Mehmet Nacar</cp:lastModifiedBy>
  <cp:revision>12</cp:revision>
  <cp:lastPrinted>2007-04-12T19:02:00Z</cp:lastPrinted>
  <dcterms:created xsi:type="dcterms:W3CDTF">2007-04-12T15:57:00Z</dcterms:created>
  <dcterms:modified xsi:type="dcterms:W3CDTF">2007-04-12T19:03:00Z</dcterms:modified>
</cp:coreProperties>
</file>